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Times New Roman" w:hAnsi="Times New Roman" w:cs="Times New Roman"/>
          <w:b/>
          <w:sz w:val="24"/>
          <w:szCs w:val="24"/>
        </w:rPr>
      </w:pPr>
      <w:r>
        <w:rPr>
          <w:rFonts w:ascii="Times New Roman" w:hAnsi="Times New Roman" w:cs="Times New Roman"/>
          <w:b/>
          <w:sz w:val="24"/>
          <w:szCs w:val="24"/>
        </w:rPr>
        <w:t>16.1.2.2.</w:t>
      </w:r>
      <w:r>
        <w:rPr>
          <w:rFonts w:ascii="Times New Roman" w:hAnsi="Times New Roman" w:cs="Times New Roman"/>
          <w:b/>
          <w:sz w:val="24"/>
          <w:szCs w:val="24"/>
          <w:lang w:val="en-US"/>
        </w:rPr>
        <w:t>5</w:t>
      </w:r>
      <w:r>
        <w:rPr>
          <w:rFonts w:ascii="Times New Roman" w:hAnsi="Times New Roman" w:cs="Times New Roman"/>
          <w:b/>
          <w:sz w:val="24"/>
          <w:szCs w:val="24"/>
        </w:rPr>
        <w:t xml:space="preserve"> Monitoring and Evaluation &amp; Supervison</w:t>
      </w:r>
    </w:p>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MONITORING, EVALUATION &amp; SUPERVISION :- </w:t>
      </w:r>
    </w:p>
    <w:p>
      <w:pPr>
        <w:pStyle w:val="6"/>
        <w:rPr>
          <w:rFonts w:ascii="Times New Roman" w:hAnsi="Times New Roman" w:cs="Times New Roman"/>
          <w:b/>
          <w:sz w:val="24"/>
          <w:szCs w:val="24"/>
        </w:rPr>
      </w:pPr>
    </w:p>
    <w:p>
      <w:pPr>
        <w:pStyle w:val="6"/>
        <w:rPr>
          <w:rFonts w:ascii="Times New Roman" w:hAnsi="Times New Roman" w:cs="Times New Roman"/>
          <w:b/>
          <w:sz w:val="24"/>
          <w:szCs w:val="24"/>
        </w:rPr>
      </w:pPr>
      <w:r>
        <w:rPr>
          <w:rFonts w:ascii="Times New Roman" w:hAnsi="Times New Roman" w:cs="Times New Roman"/>
          <w:b/>
          <w:sz w:val="24"/>
          <w:szCs w:val="24"/>
        </w:rPr>
        <w:t>I. STATE:</w:t>
      </w:r>
    </w:p>
    <w:p>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Funds required for Monitoring, Evaluation, Supervision and Epidemic Preparedness including mobility and NAMMIS under DBS as per circular received from NHM regarding approval rates (letter No. D.12016/3/2017-NHM/MSHS(SPMU)V-II dated 9</w:t>
      </w:r>
      <w:r>
        <w:rPr>
          <w:rFonts w:ascii="Times New Roman" w:hAnsi="Times New Roman" w:cs="Times New Roman"/>
          <w:sz w:val="24"/>
          <w:szCs w:val="24"/>
          <w:vertAlign w:val="superscript"/>
        </w:rPr>
        <w:t>th</w:t>
      </w:r>
      <w:r>
        <w:rPr>
          <w:rFonts w:ascii="Times New Roman" w:hAnsi="Times New Roman" w:cs="Times New Roman"/>
          <w:sz w:val="24"/>
          <w:szCs w:val="24"/>
        </w:rPr>
        <w:t xml:space="preserve"> Nov., 2020) are as follows :</w:t>
      </w:r>
    </w:p>
    <w:p>
      <w:pPr>
        <w:pStyle w:val="5"/>
        <w:spacing w:after="0" w:line="240" w:lineRule="auto"/>
        <w:ind w:left="2160"/>
        <w:rPr>
          <w:rFonts w:ascii="Times New Roman" w:hAnsi="Times New Roman" w:cs="Times New Roman"/>
          <w:sz w:val="24"/>
          <w:szCs w:val="24"/>
        </w:rPr>
      </w:pPr>
    </w:p>
    <w:tbl>
      <w:tblPr>
        <w:tblStyle w:val="3"/>
        <w:tblW w:w="5000"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88"/>
        <w:gridCol w:w="2003"/>
        <w:gridCol w:w="1042"/>
        <w:gridCol w:w="1504"/>
        <w:gridCol w:w="1552"/>
        <w:gridCol w:w="1330"/>
        <w:gridCol w:w="132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Sl no</w:t>
            </w:r>
          </w:p>
        </w:tc>
        <w:tc>
          <w:tcPr>
            <w:tcW w:w="1085" w:type="pct"/>
            <w:shd w:val="clear" w:color="auto" w:fill="auto"/>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Post</w:t>
            </w:r>
          </w:p>
        </w:tc>
        <w:tc>
          <w:tcPr>
            <w:tcW w:w="571" w:type="pct"/>
            <w:shd w:val="clear" w:color="auto" w:fill="auto"/>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post</w:t>
            </w:r>
          </w:p>
        </w:tc>
        <w:tc>
          <w:tcPr>
            <w:tcW w:w="818" w:type="pct"/>
            <w:shd w:val="clear" w:color="auto" w:fill="auto"/>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days for Field visits per month</w:t>
            </w:r>
          </w:p>
        </w:tc>
        <w:tc>
          <w:tcPr>
            <w:tcW w:w="844" w:type="pct"/>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Fooding</w:t>
            </w:r>
          </w:p>
        </w:tc>
        <w:tc>
          <w:tcPr>
            <w:tcW w:w="724" w:type="pct"/>
            <w:shd w:val="clear" w:color="auto" w:fill="auto"/>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lang w:val="en-US"/>
              </w:rPr>
              <w:t>Lodging</w:t>
            </w:r>
          </w:p>
        </w:tc>
        <w:tc>
          <w:tcPr>
            <w:tcW w:w="689" w:type="pct"/>
            <w:shd w:val="clear" w:color="auto" w:fill="auto"/>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Fund Required (Yearly)</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1</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SPO</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w:t>
            </w:r>
          </w:p>
        </w:tc>
        <w:tc>
          <w:tcPr>
            <w:tcW w:w="844" w:type="pct"/>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800</w:t>
            </w:r>
          </w:p>
        </w:tc>
        <w:tc>
          <w:tcPr>
            <w:tcW w:w="724"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1500</w:t>
            </w:r>
          </w:p>
        </w:tc>
        <w:tc>
          <w:tcPr>
            <w:tcW w:w="689"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82800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2</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Dy. Director(Malaria)</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w:t>
            </w:r>
          </w:p>
        </w:tc>
        <w:tc>
          <w:tcPr>
            <w:tcW w:w="844" w:type="pct"/>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800</w:t>
            </w:r>
          </w:p>
        </w:tc>
        <w:tc>
          <w:tcPr>
            <w:tcW w:w="724"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1500</w:t>
            </w:r>
          </w:p>
        </w:tc>
        <w:tc>
          <w:tcPr>
            <w:tcW w:w="689"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82800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3</w:t>
            </w:r>
          </w:p>
        </w:tc>
        <w:tc>
          <w:tcPr>
            <w:tcW w:w="1085" w:type="pct"/>
            <w:shd w:val="clear" w:color="auto" w:fill="auto"/>
            <w:vAlign w:val="bottom"/>
          </w:tcPr>
          <w:p>
            <w:pPr>
              <w:spacing w:after="0" w:line="240" w:lineRule="auto"/>
              <w:rPr>
                <w:rFonts w:ascii="Times New Roman" w:hAnsi="Times New Roman" w:eastAsia="Times New Roman" w:cs="Times New Roman"/>
                <w:b/>
                <w:bCs/>
                <w:iCs/>
                <w:color w:val="000000"/>
                <w:sz w:val="24"/>
                <w:szCs w:val="24"/>
              </w:rPr>
            </w:pPr>
            <w:r>
              <w:rPr>
                <w:rFonts w:ascii="Times New Roman" w:hAnsi="Times New Roman" w:eastAsia="Times New Roman" w:cs="Times New Roman"/>
                <w:b/>
                <w:bCs/>
                <w:iCs/>
                <w:color w:val="000000"/>
                <w:sz w:val="24"/>
                <w:szCs w:val="24"/>
              </w:rPr>
              <w:t>State Malaria Officer</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w:t>
            </w:r>
          </w:p>
        </w:tc>
        <w:tc>
          <w:tcPr>
            <w:tcW w:w="818" w:type="pct"/>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w:t>
            </w:r>
          </w:p>
        </w:tc>
        <w:tc>
          <w:tcPr>
            <w:tcW w:w="844" w:type="pct"/>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800</w:t>
            </w:r>
          </w:p>
        </w:tc>
        <w:tc>
          <w:tcPr>
            <w:tcW w:w="724"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1500</w:t>
            </w:r>
          </w:p>
        </w:tc>
        <w:tc>
          <w:tcPr>
            <w:tcW w:w="689"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82800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4</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M&amp;E Consultant</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844" w:type="pct"/>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800</w:t>
            </w:r>
          </w:p>
        </w:tc>
        <w:tc>
          <w:tcPr>
            <w:tcW w:w="724"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1000</w:t>
            </w:r>
          </w:p>
        </w:tc>
        <w:tc>
          <w:tcPr>
            <w:tcW w:w="689"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151200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5</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State Public Health Consultant</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844" w:type="pct"/>
          </w:tcPr>
          <w:p>
            <w:pPr>
              <w:jc w:val="center"/>
            </w:pPr>
            <w:r>
              <w:rPr>
                <w:rFonts w:ascii="Times New Roman" w:hAnsi="Times New Roman" w:eastAsia="Times New Roman" w:cs="Times New Roman"/>
                <w:color w:val="000000"/>
                <w:sz w:val="24"/>
                <w:szCs w:val="24"/>
              </w:rPr>
              <w:t>800</w:t>
            </w:r>
          </w:p>
        </w:tc>
        <w:tc>
          <w:tcPr>
            <w:tcW w:w="724" w:type="pct"/>
            <w:shd w:val="clear" w:color="auto" w:fill="auto"/>
          </w:tcPr>
          <w:p>
            <w:pPr>
              <w:jc w:val="center"/>
            </w:pPr>
            <w:r>
              <w:rPr>
                <w:rFonts w:ascii="Times New Roman" w:hAnsi="Times New Roman" w:eastAsia="Times New Roman" w:cs="Times New Roman"/>
                <w:color w:val="000000"/>
                <w:sz w:val="24"/>
                <w:szCs w:val="24"/>
                <w:lang w:val="en-US"/>
              </w:rPr>
              <w:t>1000</w:t>
            </w:r>
          </w:p>
        </w:tc>
        <w:tc>
          <w:tcPr>
            <w:tcW w:w="689" w:type="pct"/>
            <w:shd w:val="clear" w:color="auto" w:fill="auto"/>
            <w:vAlign w:val="center"/>
          </w:tcPr>
          <w:p>
            <w:pPr>
              <w:jc w:val="center"/>
            </w:pPr>
            <w:r>
              <w:rPr>
                <w:rFonts w:ascii="Times New Roman" w:hAnsi="Times New Roman" w:eastAsia="Times New Roman" w:cs="Times New Roman"/>
                <w:color w:val="000000"/>
                <w:sz w:val="24"/>
                <w:szCs w:val="24"/>
                <w:lang w:val="en-US"/>
              </w:rPr>
              <w:t>151200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6</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IEC/BCC Consultant</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844" w:type="pct"/>
          </w:tcPr>
          <w:p>
            <w:pPr>
              <w:jc w:val="center"/>
            </w:pPr>
            <w:r>
              <w:rPr>
                <w:rFonts w:ascii="Times New Roman" w:hAnsi="Times New Roman" w:eastAsia="Times New Roman" w:cs="Times New Roman"/>
                <w:color w:val="000000"/>
                <w:sz w:val="24"/>
                <w:szCs w:val="24"/>
              </w:rPr>
              <w:t>800</w:t>
            </w:r>
          </w:p>
        </w:tc>
        <w:tc>
          <w:tcPr>
            <w:tcW w:w="724" w:type="pct"/>
            <w:shd w:val="clear" w:color="auto" w:fill="auto"/>
          </w:tcPr>
          <w:p>
            <w:pPr>
              <w:jc w:val="center"/>
            </w:pPr>
            <w:r>
              <w:rPr>
                <w:rFonts w:ascii="Times New Roman" w:hAnsi="Times New Roman" w:eastAsia="Times New Roman" w:cs="Times New Roman"/>
                <w:color w:val="000000"/>
                <w:sz w:val="24"/>
                <w:szCs w:val="24"/>
                <w:lang w:val="en-US"/>
              </w:rPr>
              <w:t>1000</w:t>
            </w:r>
          </w:p>
        </w:tc>
        <w:tc>
          <w:tcPr>
            <w:tcW w:w="689" w:type="pct"/>
            <w:shd w:val="clear" w:color="auto" w:fill="auto"/>
            <w:vAlign w:val="center"/>
          </w:tcPr>
          <w:p>
            <w:pPr>
              <w:jc w:val="center"/>
            </w:pPr>
            <w:r>
              <w:rPr>
                <w:rFonts w:ascii="Times New Roman" w:hAnsi="Times New Roman" w:eastAsia="Times New Roman" w:cs="Times New Roman"/>
                <w:color w:val="000000"/>
                <w:sz w:val="24"/>
                <w:szCs w:val="24"/>
                <w:lang w:val="en-US"/>
              </w:rPr>
              <w:t>151200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7</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Finance Consultant</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844" w:type="pct"/>
          </w:tcPr>
          <w:p>
            <w:pPr>
              <w:jc w:val="center"/>
            </w:pPr>
            <w:r>
              <w:rPr>
                <w:rFonts w:ascii="Times New Roman" w:hAnsi="Times New Roman" w:eastAsia="Times New Roman" w:cs="Times New Roman"/>
                <w:color w:val="000000"/>
                <w:sz w:val="24"/>
                <w:szCs w:val="24"/>
              </w:rPr>
              <w:t>800</w:t>
            </w:r>
          </w:p>
        </w:tc>
        <w:tc>
          <w:tcPr>
            <w:tcW w:w="724" w:type="pct"/>
            <w:shd w:val="clear" w:color="auto" w:fill="auto"/>
          </w:tcPr>
          <w:p>
            <w:pPr>
              <w:jc w:val="center"/>
            </w:pPr>
            <w:r>
              <w:rPr>
                <w:rFonts w:ascii="Times New Roman" w:hAnsi="Times New Roman" w:eastAsia="Times New Roman" w:cs="Times New Roman"/>
                <w:color w:val="000000"/>
                <w:sz w:val="24"/>
                <w:szCs w:val="24"/>
                <w:lang w:val="en-US"/>
              </w:rPr>
              <w:t>1000</w:t>
            </w:r>
          </w:p>
        </w:tc>
        <w:tc>
          <w:tcPr>
            <w:tcW w:w="689" w:type="pct"/>
            <w:shd w:val="clear" w:color="auto" w:fill="auto"/>
            <w:vAlign w:val="center"/>
          </w:tcPr>
          <w:p>
            <w:pPr>
              <w:jc w:val="center"/>
            </w:pPr>
            <w:r>
              <w:rPr>
                <w:rFonts w:ascii="Times New Roman" w:hAnsi="Times New Roman" w:eastAsia="Times New Roman" w:cs="Times New Roman"/>
                <w:color w:val="000000"/>
                <w:sz w:val="24"/>
                <w:szCs w:val="24"/>
                <w:lang w:val="en-US"/>
              </w:rPr>
              <w:t>151200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26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8</w:t>
            </w:r>
          </w:p>
        </w:tc>
        <w:tc>
          <w:tcPr>
            <w:tcW w:w="1085" w:type="pct"/>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PSCM Consultant</w:t>
            </w:r>
          </w:p>
        </w:tc>
        <w:tc>
          <w:tcPr>
            <w:tcW w:w="571" w:type="pct"/>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818" w:type="pct"/>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844" w:type="pct"/>
          </w:tcPr>
          <w:p>
            <w:pPr>
              <w:jc w:val="center"/>
            </w:pPr>
            <w:r>
              <w:rPr>
                <w:rFonts w:ascii="Times New Roman" w:hAnsi="Times New Roman" w:eastAsia="Times New Roman" w:cs="Times New Roman"/>
                <w:color w:val="000000"/>
                <w:sz w:val="24"/>
                <w:szCs w:val="24"/>
              </w:rPr>
              <w:t>800</w:t>
            </w:r>
          </w:p>
        </w:tc>
        <w:tc>
          <w:tcPr>
            <w:tcW w:w="724" w:type="pct"/>
            <w:shd w:val="clear" w:color="auto" w:fill="auto"/>
          </w:tcPr>
          <w:p>
            <w:pPr>
              <w:jc w:val="center"/>
            </w:pPr>
            <w:r>
              <w:rPr>
                <w:rFonts w:ascii="Times New Roman" w:hAnsi="Times New Roman" w:eastAsia="Times New Roman" w:cs="Times New Roman"/>
                <w:color w:val="000000"/>
                <w:sz w:val="24"/>
                <w:szCs w:val="24"/>
                <w:lang w:val="en-US"/>
              </w:rPr>
              <w:t>1000</w:t>
            </w:r>
          </w:p>
        </w:tc>
        <w:tc>
          <w:tcPr>
            <w:tcW w:w="689" w:type="pct"/>
            <w:shd w:val="clear" w:color="auto" w:fill="auto"/>
            <w:vAlign w:val="center"/>
          </w:tcPr>
          <w:p>
            <w:pPr>
              <w:jc w:val="center"/>
            </w:pPr>
            <w:r>
              <w:rPr>
                <w:rFonts w:ascii="Times New Roman" w:hAnsi="Times New Roman" w:eastAsia="Times New Roman" w:cs="Times New Roman"/>
                <w:color w:val="000000"/>
                <w:sz w:val="24"/>
                <w:szCs w:val="24"/>
                <w:lang w:val="en-US"/>
              </w:rPr>
              <w:t>151200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1925" w:type="pct"/>
            <w:gridSpan w:val="3"/>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xml:space="preserve">Total </w:t>
            </w:r>
          </w:p>
        </w:tc>
        <w:tc>
          <w:tcPr>
            <w:tcW w:w="818"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w:t>
            </w:r>
          </w:p>
        </w:tc>
        <w:tc>
          <w:tcPr>
            <w:tcW w:w="844" w:type="pct"/>
          </w:tcPr>
          <w:p>
            <w:pPr>
              <w:spacing w:after="0" w:line="240" w:lineRule="auto"/>
              <w:jc w:val="center"/>
              <w:rPr>
                <w:rFonts w:ascii="Times New Roman" w:hAnsi="Times New Roman" w:eastAsia="Times New Roman" w:cs="Times New Roman"/>
                <w:b/>
                <w:bCs/>
                <w:color w:val="000000"/>
                <w:sz w:val="24"/>
                <w:szCs w:val="24"/>
              </w:rPr>
            </w:pPr>
          </w:p>
        </w:tc>
        <w:tc>
          <w:tcPr>
            <w:tcW w:w="724"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w:t>
            </w:r>
          </w:p>
        </w:tc>
        <w:tc>
          <w:tcPr>
            <w:tcW w:w="689" w:type="pct"/>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lang w:val="en-US"/>
              </w:rPr>
              <w:t>10,04,400/-</w:t>
            </w:r>
          </w:p>
        </w:tc>
      </w:tr>
    </w:tbl>
    <w:p>
      <w:pPr>
        <w:pStyle w:val="6"/>
        <w:rPr>
          <w:rFonts w:ascii="Times New Roman" w:hAnsi="Times New Roman" w:cs="Times New Roman"/>
          <w:sz w:val="24"/>
          <w:szCs w:val="24"/>
        </w:rPr>
      </w:pPr>
    </w:p>
    <w:p>
      <w:pPr>
        <w:pStyle w:val="6"/>
        <w:rPr>
          <w:rFonts w:ascii="Times New Roman" w:hAnsi="Times New Roman" w:cs="Times New Roman"/>
          <w:b/>
          <w:sz w:val="24"/>
          <w:szCs w:val="24"/>
        </w:rPr>
      </w:pPr>
      <w:r>
        <w:rPr>
          <w:rFonts w:ascii="Times New Roman" w:hAnsi="Times New Roman" w:cs="Times New Roman"/>
          <w:b/>
          <w:sz w:val="24"/>
          <w:szCs w:val="24"/>
        </w:rPr>
        <w:t>II. DISTRICT:</w:t>
      </w:r>
    </w:p>
    <w:p>
      <w:pPr>
        <w:pStyle w:val="6"/>
        <w:rPr>
          <w:rFonts w:ascii="Times New Roman" w:hAnsi="Times New Roman" w:cs="Times New Roman"/>
          <w:b/>
          <w:sz w:val="24"/>
          <w:szCs w:val="24"/>
        </w:rPr>
      </w:pPr>
    </w:p>
    <w:p>
      <w:pPr>
        <w:pStyle w:val="5"/>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For strengthening of the programme, supervision and monitoring is required, the proposed field visits for CMO, DMO, DVBD Consultant and MTS for each districts and funds requirements are as follows :</w:t>
      </w:r>
    </w:p>
    <w:p>
      <w:pPr>
        <w:pStyle w:val="6"/>
        <w:rPr>
          <w:rFonts w:ascii="Times New Roman" w:hAnsi="Times New Roman" w:cs="Times New Roman"/>
          <w:b/>
          <w:sz w:val="24"/>
          <w:szCs w:val="24"/>
        </w:rPr>
      </w:pPr>
    </w:p>
    <w:tbl>
      <w:tblPr>
        <w:tblStyle w:val="3"/>
        <w:tblW w:w="5000" w:type="pct"/>
        <w:tblInd w:w="0" w:type="dxa"/>
        <w:tblLayout w:type="autofit"/>
        <w:tblCellMar>
          <w:top w:w="0" w:type="dxa"/>
          <w:left w:w="108" w:type="dxa"/>
          <w:bottom w:w="0" w:type="dxa"/>
          <w:right w:w="108" w:type="dxa"/>
        </w:tblCellMar>
      </w:tblPr>
      <w:tblGrid>
        <w:gridCol w:w="1081"/>
        <w:gridCol w:w="2462"/>
        <w:gridCol w:w="1224"/>
        <w:gridCol w:w="1425"/>
        <w:gridCol w:w="1183"/>
        <w:gridCol w:w="1867"/>
      </w:tblGrid>
      <w:tr>
        <w:tblPrEx>
          <w:tblCellMar>
            <w:top w:w="0" w:type="dxa"/>
            <w:left w:w="108" w:type="dxa"/>
            <w:bottom w:w="0" w:type="dxa"/>
            <w:right w:w="108" w:type="dxa"/>
          </w:tblCellMar>
        </w:tblPrEx>
        <w:trPr>
          <w:trHeight w:val="20" w:hRule="atLeast"/>
        </w:trPr>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Sl no</w:t>
            </w:r>
          </w:p>
        </w:tc>
        <w:tc>
          <w:tcPr>
            <w:tcW w:w="1332"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Post</w:t>
            </w:r>
          </w:p>
        </w:tc>
        <w:tc>
          <w:tcPr>
            <w:tcW w:w="662"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post</w:t>
            </w:r>
          </w:p>
        </w:tc>
        <w:tc>
          <w:tcPr>
            <w:tcW w:w="771"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days for Field visits per month</w:t>
            </w:r>
          </w:p>
        </w:tc>
        <w:tc>
          <w:tcPr>
            <w:tcW w:w="640"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DA per day</w:t>
            </w:r>
          </w:p>
        </w:tc>
        <w:tc>
          <w:tcPr>
            <w:tcW w:w="1010"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Fund Required (Yearly)</w:t>
            </w:r>
          </w:p>
        </w:tc>
      </w:tr>
      <w:tr>
        <w:tblPrEx>
          <w:tblCellMar>
            <w:top w:w="0" w:type="dxa"/>
            <w:left w:w="108" w:type="dxa"/>
            <w:bottom w:w="0" w:type="dxa"/>
            <w:right w:w="108" w:type="dxa"/>
          </w:tblCellMar>
        </w:tblPrEx>
        <w:trPr>
          <w:trHeight w:val="20" w:hRule="atLeast"/>
        </w:trPr>
        <w:tc>
          <w:tcPr>
            <w:tcW w:w="585" w:type="pct"/>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bookmarkStart w:id="0" w:name="_Hlk507514917"/>
            <w:r>
              <w:rPr>
                <w:rFonts w:ascii="Times New Roman" w:hAnsi="Times New Roman" w:eastAsia="Times New Roman" w:cs="Times New Roman"/>
                <w:b/>
                <w:bCs/>
                <w:color w:val="000000"/>
                <w:sz w:val="24"/>
                <w:szCs w:val="24"/>
              </w:rPr>
              <w:t>1</w:t>
            </w:r>
          </w:p>
        </w:tc>
        <w:tc>
          <w:tcPr>
            <w:tcW w:w="1332" w:type="pct"/>
            <w:tcBorders>
              <w:top w:val="nil"/>
              <w:left w:val="nil"/>
              <w:bottom w:val="single" w:color="auto" w:sz="4" w:space="0"/>
              <w:right w:val="single" w:color="auto" w:sz="4"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CMO/DMO</w:t>
            </w:r>
          </w:p>
        </w:tc>
        <w:tc>
          <w:tcPr>
            <w:tcW w:w="662"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9</w:t>
            </w:r>
          </w:p>
        </w:tc>
        <w:tc>
          <w:tcPr>
            <w:tcW w:w="771"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w:t>
            </w:r>
          </w:p>
        </w:tc>
        <w:tc>
          <w:tcPr>
            <w:tcW w:w="640"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750</w:t>
            </w:r>
          </w:p>
        </w:tc>
        <w:tc>
          <w:tcPr>
            <w:tcW w:w="101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243000</w:t>
            </w:r>
          </w:p>
        </w:tc>
      </w:tr>
      <w:tr>
        <w:tblPrEx>
          <w:tblCellMar>
            <w:top w:w="0" w:type="dxa"/>
            <w:left w:w="108" w:type="dxa"/>
            <w:bottom w:w="0" w:type="dxa"/>
            <w:right w:w="108" w:type="dxa"/>
          </w:tblCellMar>
        </w:tblPrEx>
        <w:trPr>
          <w:trHeight w:val="20" w:hRule="atLeast"/>
        </w:trPr>
        <w:tc>
          <w:tcPr>
            <w:tcW w:w="585" w:type="pct"/>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2</w:t>
            </w:r>
          </w:p>
        </w:tc>
        <w:tc>
          <w:tcPr>
            <w:tcW w:w="1332" w:type="pct"/>
            <w:tcBorders>
              <w:top w:val="nil"/>
              <w:left w:val="nil"/>
              <w:bottom w:val="single" w:color="auto" w:sz="4" w:space="0"/>
              <w:right w:val="single" w:color="auto" w:sz="4"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DVBD Consultant</w:t>
            </w:r>
          </w:p>
        </w:tc>
        <w:tc>
          <w:tcPr>
            <w:tcW w:w="662"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9</w:t>
            </w:r>
          </w:p>
        </w:tc>
        <w:tc>
          <w:tcPr>
            <w:tcW w:w="771"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10</w:t>
            </w:r>
          </w:p>
        </w:tc>
        <w:tc>
          <w:tcPr>
            <w:tcW w:w="640"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500</w:t>
            </w:r>
          </w:p>
        </w:tc>
        <w:tc>
          <w:tcPr>
            <w:tcW w:w="101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540000</w:t>
            </w:r>
          </w:p>
        </w:tc>
      </w:tr>
      <w:tr>
        <w:tblPrEx>
          <w:tblCellMar>
            <w:top w:w="0" w:type="dxa"/>
            <w:left w:w="108" w:type="dxa"/>
            <w:bottom w:w="0" w:type="dxa"/>
            <w:right w:w="108" w:type="dxa"/>
          </w:tblCellMar>
        </w:tblPrEx>
        <w:trPr>
          <w:trHeight w:val="20" w:hRule="atLeast"/>
        </w:trPr>
        <w:tc>
          <w:tcPr>
            <w:tcW w:w="585" w:type="pct"/>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4</w:t>
            </w:r>
          </w:p>
        </w:tc>
        <w:tc>
          <w:tcPr>
            <w:tcW w:w="1332" w:type="pct"/>
            <w:tcBorders>
              <w:top w:val="nil"/>
              <w:left w:val="nil"/>
              <w:bottom w:val="single" w:color="auto" w:sz="4" w:space="0"/>
              <w:right w:val="single" w:color="auto" w:sz="4"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DVBD Technical Supervisor</w:t>
            </w:r>
          </w:p>
        </w:tc>
        <w:tc>
          <w:tcPr>
            <w:tcW w:w="662"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26</w:t>
            </w:r>
          </w:p>
        </w:tc>
        <w:tc>
          <w:tcPr>
            <w:tcW w:w="771"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15</w:t>
            </w:r>
          </w:p>
        </w:tc>
        <w:tc>
          <w:tcPr>
            <w:tcW w:w="64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300</w:t>
            </w:r>
          </w:p>
        </w:tc>
        <w:tc>
          <w:tcPr>
            <w:tcW w:w="101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1404000</w:t>
            </w:r>
          </w:p>
        </w:tc>
      </w:tr>
      <w:bookmarkEnd w:id="0"/>
      <w:tr>
        <w:tblPrEx>
          <w:tblCellMar>
            <w:top w:w="0" w:type="dxa"/>
            <w:left w:w="108" w:type="dxa"/>
            <w:bottom w:w="0" w:type="dxa"/>
            <w:right w:w="108" w:type="dxa"/>
          </w:tblCellMar>
        </w:tblPrEx>
        <w:trPr>
          <w:trHeight w:val="20" w:hRule="atLeast"/>
        </w:trPr>
        <w:tc>
          <w:tcPr>
            <w:tcW w:w="3990" w:type="pct"/>
            <w:gridSpan w:val="5"/>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xml:space="preserve">Total </w:t>
            </w:r>
          </w:p>
        </w:tc>
        <w:tc>
          <w:tcPr>
            <w:tcW w:w="1010"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lang w:val="en-US"/>
              </w:rPr>
              <w:t>21,87,000/-</w:t>
            </w:r>
          </w:p>
        </w:tc>
      </w:tr>
    </w:tbl>
    <w:p>
      <w:pPr>
        <w:pStyle w:val="6"/>
        <w:rPr>
          <w:rFonts w:ascii="Times New Roman" w:hAnsi="Times New Roman" w:cs="Times New Roman"/>
          <w:b/>
          <w:sz w:val="24"/>
          <w:szCs w:val="24"/>
        </w:rPr>
      </w:pPr>
    </w:p>
    <w:p>
      <w:pPr>
        <w:pStyle w:val="6"/>
        <w:rPr>
          <w:rFonts w:ascii="Times New Roman" w:hAnsi="Times New Roman" w:cs="Times New Roman"/>
          <w:b/>
          <w:sz w:val="24"/>
          <w:szCs w:val="24"/>
        </w:rPr>
      </w:pPr>
    </w:p>
    <w:p>
      <w:pPr>
        <w:spacing w:after="20" w:line="24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State; Mizoram has five consultant, but only one vehicle is provided from GFATM at the state level for monitoring and supervision purposes. Beside that there are three high endemic districts. Also there are pocket endemic areas in far part/ bordering area of the state. Due to these reasons one vehicle in the state is not enough to properly cover these high endemic districts and to perform sufficient monitoring and supervision in the State. Therefore, it is learned that hiring is a must for state Consultant, as details given below –</w:t>
      </w:r>
    </w:p>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875"/>
        <w:gridCol w:w="1350"/>
        <w:gridCol w:w="2175"/>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 w:type="dxa"/>
            <w:vAlign w:val="center"/>
          </w:tcPr>
          <w:p>
            <w:pPr>
              <w:spacing w:after="20" w:line="240" w:lineRule="auto"/>
              <w:jc w:val="center"/>
              <w:rPr>
                <w:rFonts w:ascii="Times New Roman" w:hAnsi="Times New Roman" w:cs="Times New Roman"/>
                <w:b/>
                <w:sz w:val="24"/>
                <w:szCs w:val="24"/>
                <w:lang w:val="en-US"/>
              </w:rPr>
            </w:pPr>
            <w:bookmarkStart w:id="1" w:name="_GoBack"/>
            <w:r>
              <w:rPr>
                <w:rFonts w:ascii="Times New Roman" w:hAnsi="Times New Roman" w:cs="Times New Roman"/>
                <w:b/>
                <w:sz w:val="24"/>
                <w:szCs w:val="24"/>
                <w:lang w:val="en-US"/>
              </w:rPr>
              <w:t>Sl No</w:t>
            </w:r>
          </w:p>
        </w:tc>
        <w:tc>
          <w:tcPr>
            <w:tcW w:w="1875"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Activity</w:t>
            </w:r>
          </w:p>
        </w:tc>
        <w:tc>
          <w:tcPr>
            <w:tcW w:w="1350"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No. of Consultant</w:t>
            </w:r>
          </w:p>
        </w:tc>
        <w:tc>
          <w:tcPr>
            <w:tcW w:w="2175"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No of Supervision / Monitoring tour during a month</w:t>
            </w:r>
          </w:p>
        </w:tc>
        <w:tc>
          <w:tcPr>
            <w:tcW w:w="1496"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Annual Funds requirement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 w:type="dxa"/>
          </w:tcPr>
          <w:p>
            <w:pPr>
              <w:spacing w:after="2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75" w:type="dxa"/>
          </w:tcPr>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Hiring for Supervision and Monitoring</w:t>
            </w:r>
          </w:p>
        </w:tc>
        <w:tc>
          <w:tcPr>
            <w:tcW w:w="1350" w:type="dxa"/>
          </w:tcPr>
          <w:p>
            <w:pPr>
              <w:spacing w:after="2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175" w:type="dxa"/>
          </w:tcPr>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7 per Consultants &amp; others RD &amp; National Level delegates per month</w:t>
            </w:r>
          </w:p>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(i.e.35 per month)</w:t>
            </w:r>
          </w:p>
        </w:tc>
        <w:tc>
          <w:tcPr>
            <w:tcW w:w="1496" w:type="dxa"/>
          </w:tcPr>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2,50,000.00</w:t>
            </w:r>
          </w:p>
        </w:tc>
      </w:tr>
      <w:bookmarkEnd w:id="1"/>
    </w:tbl>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p>
      <w:pPr>
        <w:rPr>
          <w:rFonts w:ascii="Times New Roman" w:hAnsi="Times New Roman" w:cs="Times New Roman"/>
          <w:b/>
          <w:sz w:val="24"/>
          <w:szCs w:val="24"/>
          <w:u w:val="single"/>
        </w:rPr>
      </w:pPr>
      <w:r>
        <w:rPr>
          <w:rFonts w:ascii="Times New Roman" w:hAnsi="Times New Roman" w:cs="Times New Roman"/>
          <w:b/>
          <w:sz w:val="24"/>
          <w:szCs w:val="24"/>
          <w:u w:val="single"/>
        </w:rPr>
        <w:t>Freight &amp; Insurance on ACT-AL &amp; RDT:</w:t>
      </w:r>
    </w:p>
    <w:p>
      <w:pPr>
        <w:jc w:val="both"/>
        <w:rPr>
          <w:rFonts w:ascii="Times New Roman" w:hAnsi="Times New Roman" w:cs="Times New Roman"/>
          <w:sz w:val="24"/>
          <w:szCs w:val="24"/>
        </w:rPr>
      </w:pPr>
      <w:r>
        <w:rPr>
          <w:rFonts w:ascii="Times New Roman" w:hAnsi="Times New Roman" w:cs="Times New Roman"/>
          <w:sz w:val="24"/>
          <w:szCs w:val="24"/>
        </w:rPr>
        <w:t xml:space="preserve">Since, ACT-AL, RDT and Injection Artesunate are received in kind from Govt. of India through GMSD, Guwahati, Assam, freight has to be borne from the State. To meet the requirement on account of freight and Insurance for the aforementioned and also for dropping from the State to the District Hqr and to PHC Levels amount of </w:t>
      </w:r>
      <w:r>
        <w:rPr>
          <w:rFonts w:ascii="Times New Roman" w:hAnsi="Times New Roman" w:cs="Times New Roman"/>
          <w:b/>
          <w:sz w:val="24"/>
          <w:szCs w:val="24"/>
        </w:rPr>
        <w:t>Rs. 1.00/- lakhs</w:t>
      </w:r>
      <w:r>
        <w:rPr>
          <w:rFonts w:ascii="Times New Roman" w:hAnsi="Times New Roman" w:cs="Times New Roman"/>
          <w:sz w:val="24"/>
          <w:szCs w:val="24"/>
        </w:rPr>
        <w:t xml:space="preserve"> is required for FY 202</w:t>
      </w:r>
      <w:r>
        <w:rPr>
          <w:rFonts w:ascii="Times New Roman" w:hAnsi="Times New Roman" w:cs="Times New Roman"/>
          <w:sz w:val="24"/>
          <w:szCs w:val="24"/>
          <w:lang w:val="en-US"/>
        </w:rPr>
        <w:t>1</w:t>
      </w:r>
      <w:r>
        <w:rPr>
          <w:rFonts w:ascii="Times New Roman" w:hAnsi="Times New Roman" w:cs="Times New Roman"/>
          <w:sz w:val="24"/>
          <w:szCs w:val="24"/>
        </w:rPr>
        <w:t xml:space="preserve"> - 202</w:t>
      </w:r>
      <w:r>
        <w:rPr>
          <w:rFonts w:ascii="Times New Roman" w:hAnsi="Times New Roman" w:cs="Times New Roman"/>
          <w:sz w:val="24"/>
          <w:szCs w:val="24"/>
          <w:lang w:val="en-US"/>
        </w:rPr>
        <w:t>2</w:t>
      </w:r>
      <w:r>
        <w:rPr>
          <w:rFonts w:ascii="Times New Roman" w:hAnsi="Times New Roman" w:cs="Times New Roman"/>
          <w:sz w:val="24"/>
          <w:szCs w:val="24"/>
        </w:rPr>
        <w:t>.</w:t>
      </w:r>
    </w:p>
    <w:p>
      <w:pPr>
        <w:pStyle w:val="6"/>
        <w:rPr>
          <w:rFonts w:ascii="Times New Roman" w:hAnsi="Times New Roman" w:cs="Times New Roman"/>
          <w:b/>
          <w:sz w:val="24"/>
          <w:szCs w:val="24"/>
        </w:rPr>
      </w:pPr>
    </w:p>
    <w:p>
      <w:pPr>
        <w:pStyle w:val="6"/>
        <w:jc w:val="center"/>
        <w:rPr>
          <w:rFonts w:ascii="Times New Roman" w:hAnsi="Times New Roman" w:cs="Times New Roman"/>
          <w:b/>
          <w:sz w:val="24"/>
          <w:szCs w:val="24"/>
        </w:rPr>
      </w:pPr>
      <w:r>
        <w:rPr>
          <w:rFonts w:ascii="Times New Roman" w:hAnsi="Times New Roman" w:cs="Times New Roman"/>
          <w:b/>
          <w:sz w:val="24"/>
          <w:szCs w:val="24"/>
        </w:rPr>
        <w:t xml:space="preserve">TOTAL BUDGET IS Rs. </w:t>
      </w:r>
      <w:r>
        <w:rPr>
          <w:rFonts w:ascii="Times New Roman" w:hAnsi="Times New Roman" w:cs="Times New Roman"/>
          <w:b/>
          <w:sz w:val="24"/>
          <w:szCs w:val="24"/>
          <w:lang w:val="en-US"/>
        </w:rPr>
        <w:t>35.41</w:t>
      </w:r>
      <w:r>
        <w:rPr>
          <w:rFonts w:ascii="Times New Roman" w:hAnsi="Times New Roman" w:cs="Times New Roman"/>
          <w:b/>
          <w:sz w:val="24"/>
          <w:szCs w:val="24"/>
        </w:rPr>
        <w:t>/- Lakhs FOR FY 2021 - 2022</w:t>
      </w:r>
    </w:p>
    <w:sectPr>
      <w:pgSz w:w="11906" w:h="16838"/>
      <w:pgMar w:top="1135" w:right="1440" w:bottom="1276"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2D791D"/>
    <w:rsid w:val="00000B2A"/>
    <w:rsid w:val="000262B1"/>
    <w:rsid w:val="00041859"/>
    <w:rsid w:val="00046656"/>
    <w:rsid w:val="000A54A9"/>
    <w:rsid w:val="000B10E1"/>
    <w:rsid w:val="000C50EB"/>
    <w:rsid w:val="000E0891"/>
    <w:rsid w:val="000E672C"/>
    <w:rsid w:val="00112971"/>
    <w:rsid w:val="001710C7"/>
    <w:rsid w:val="00181381"/>
    <w:rsid w:val="001A27FF"/>
    <w:rsid w:val="001D15CC"/>
    <w:rsid w:val="001D168E"/>
    <w:rsid w:val="001F0A81"/>
    <w:rsid w:val="001F3CA3"/>
    <w:rsid w:val="00201AE7"/>
    <w:rsid w:val="00213F60"/>
    <w:rsid w:val="00250E97"/>
    <w:rsid w:val="00255974"/>
    <w:rsid w:val="00283E09"/>
    <w:rsid w:val="002A63A0"/>
    <w:rsid w:val="002B6C51"/>
    <w:rsid w:val="002D791D"/>
    <w:rsid w:val="002E5996"/>
    <w:rsid w:val="00381A8F"/>
    <w:rsid w:val="003861EC"/>
    <w:rsid w:val="00394160"/>
    <w:rsid w:val="003D3A27"/>
    <w:rsid w:val="003D4A6C"/>
    <w:rsid w:val="00405F7E"/>
    <w:rsid w:val="004333DA"/>
    <w:rsid w:val="00433613"/>
    <w:rsid w:val="00452557"/>
    <w:rsid w:val="0045562E"/>
    <w:rsid w:val="004657F3"/>
    <w:rsid w:val="00515D8B"/>
    <w:rsid w:val="0052349C"/>
    <w:rsid w:val="00525E75"/>
    <w:rsid w:val="00544AC1"/>
    <w:rsid w:val="00552ABE"/>
    <w:rsid w:val="005856E1"/>
    <w:rsid w:val="0059184C"/>
    <w:rsid w:val="005E2C01"/>
    <w:rsid w:val="005F2CFA"/>
    <w:rsid w:val="00626930"/>
    <w:rsid w:val="00633439"/>
    <w:rsid w:val="006620CC"/>
    <w:rsid w:val="006B4BA0"/>
    <w:rsid w:val="006F59A8"/>
    <w:rsid w:val="00702683"/>
    <w:rsid w:val="007312B3"/>
    <w:rsid w:val="007469D0"/>
    <w:rsid w:val="00783961"/>
    <w:rsid w:val="007C7290"/>
    <w:rsid w:val="007E7486"/>
    <w:rsid w:val="007F7CA2"/>
    <w:rsid w:val="00892AA1"/>
    <w:rsid w:val="008973C9"/>
    <w:rsid w:val="008F0C1F"/>
    <w:rsid w:val="00912134"/>
    <w:rsid w:val="009164E2"/>
    <w:rsid w:val="00952B8A"/>
    <w:rsid w:val="00960891"/>
    <w:rsid w:val="00974591"/>
    <w:rsid w:val="00986B9B"/>
    <w:rsid w:val="0099630B"/>
    <w:rsid w:val="009B5244"/>
    <w:rsid w:val="009D5443"/>
    <w:rsid w:val="00A51A88"/>
    <w:rsid w:val="00A961E5"/>
    <w:rsid w:val="00AD4A8C"/>
    <w:rsid w:val="00B4178C"/>
    <w:rsid w:val="00B54C30"/>
    <w:rsid w:val="00B73144"/>
    <w:rsid w:val="00B81AFD"/>
    <w:rsid w:val="00B93039"/>
    <w:rsid w:val="00BA1F58"/>
    <w:rsid w:val="00BC07CD"/>
    <w:rsid w:val="00BE1283"/>
    <w:rsid w:val="00BE1CA8"/>
    <w:rsid w:val="00C458AD"/>
    <w:rsid w:val="00C70498"/>
    <w:rsid w:val="00C75EC5"/>
    <w:rsid w:val="00C93FE9"/>
    <w:rsid w:val="00C97A17"/>
    <w:rsid w:val="00CB672B"/>
    <w:rsid w:val="00CF0E55"/>
    <w:rsid w:val="00D125B7"/>
    <w:rsid w:val="00D168FC"/>
    <w:rsid w:val="00D22210"/>
    <w:rsid w:val="00D465C7"/>
    <w:rsid w:val="00D52655"/>
    <w:rsid w:val="00E2399B"/>
    <w:rsid w:val="00E32DB4"/>
    <w:rsid w:val="00E438FF"/>
    <w:rsid w:val="00E500DC"/>
    <w:rsid w:val="00EE244F"/>
    <w:rsid w:val="00F65D40"/>
    <w:rsid w:val="00F77564"/>
    <w:rsid w:val="00FB22C7"/>
    <w:rsid w:val="00FE4A31"/>
    <w:rsid w:val="218F705D"/>
    <w:rsid w:val="3C4A287F"/>
    <w:rsid w:val="52527C53"/>
    <w:rsid w:val="53587B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left="720"/>
      <w:contextualSpacing/>
    </w:pPr>
  </w:style>
  <w:style w:type="paragraph" w:styleId="6">
    <w:name w:val="No Spacing"/>
    <w:qFormat/>
    <w:uiPriority w:val="1"/>
    <w:rPr>
      <w:rFonts w:asciiTheme="minorHAnsi" w:hAnsiTheme="minorHAnsi" w:eastAsiaTheme="minorHAnsi" w:cstheme="minorBidi"/>
      <w:sz w:val="22"/>
      <w:szCs w:val="22"/>
      <w:lang w:val="en-GB"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7E45B-B044-4475-837F-91ECEB15CCA7}">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2</Pages>
  <Words>377</Words>
  <Characters>2150</Characters>
  <Lines>17</Lines>
  <Paragraphs>5</Paragraphs>
  <TotalTime>212</TotalTime>
  <ScaleCrop>false</ScaleCrop>
  <LinksUpToDate>false</LinksUpToDate>
  <CharactersWithSpaces>2522</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2017-01-30T14:45:00Z</dcterms:created>
  <dc:creator>User</dc:creator>
  <cp:lastModifiedBy>B Lalcrossengmawia</cp:lastModifiedBy>
  <dcterms:modified xsi:type="dcterms:W3CDTF">2020-11-26T09:15:01Z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