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Times New Roman" w:hAnsi="Times New Roman" w:cs="Times New Roman"/>
          <w:b/>
          <w:sz w:val="24"/>
          <w:szCs w:val="24"/>
        </w:rPr>
      </w:pPr>
      <w:r>
        <w:rPr>
          <w:rFonts w:ascii="Times New Roman" w:hAnsi="Times New Roman" w:cs="Times New Roman"/>
          <w:b/>
          <w:sz w:val="24"/>
          <w:szCs w:val="24"/>
        </w:rPr>
        <w:t>3.2.5.1.2: Operational Cost for IRS :</w:t>
      </w:r>
    </w:p>
    <w:p>
      <w:pPr>
        <w:spacing w:before="90" w:after="0" w:line="240" w:lineRule="auto"/>
        <w:ind w:left="840"/>
        <w:rPr>
          <w:rFonts w:ascii="Times New Roman" w:hAnsi="Times New Roman" w:cs="Times New Roman"/>
          <w:b/>
          <w:sz w:val="24"/>
          <w:szCs w:val="24"/>
        </w:rPr>
      </w:pPr>
      <w:r>
        <w:rPr>
          <w:rFonts w:ascii="Times New Roman" w:hAnsi="Times New Roman" w:cs="Times New Roman"/>
          <w:b/>
          <w:w w:val="105"/>
          <w:sz w:val="24"/>
          <w:szCs w:val="24"/>
        </w:rPr>
        <w:t>STATE-</w:t>
      </w:r>
    </w:p>
    <w:p>
      <w:pPr>
        <w:spacing w:after="0" w:line="240" w:lineRule="auto"/>
        <w:ind w:left="840"/>
        <w:rPr>
          <w:rFonts w:ascii="Times New Roman" w:hAnsi="Times New Roman" w:cs="Times New Roman"/>
          <w:b/>
          <w:sz w:val="24"/>
          <w:szCs w:val="24"/>
        </w:rPr>
      </w:pPr>
      <w:r>
        <w:rPr>
          <w:rFonts w:ascii="Times New Roman" w:hAnsi="Times New Roman" w:cs="Times New Roman"/>
          <w:b/>
          <w:w w:val="110"/>
          <w:sz w:val="24"/>
          <w:szCs w:val="24"/>
        </w:rPr>
        <w:t>Operational cost for IRS:-</w:t>
      </w:r>
    </w:p>
    <w:p>
      <w:pPr>
        <w:pStyle w:val="9"/>
        <w:widowControl w:val="0"/>
        <w:numPr>
          <w:ilvl w:val="5"/>
          <w:numId w:val="1"/>
        </w:numPr>
        <w:tabs>
          <w:tab w:val="left" w:pos="1920"/>
        </w:tabs>
        <w:autoSpaceDE w:val="0"/>
        <w:autoSpaceDN w:val="0"/>
        <w:spacing w:before="90" w:after="0" w:line="240" w:lineRule="auto"/>
        <w:contextualSpacing w:val="0"/>
        <w:jc w:val="both"/>
        <w:rPr>
          <w:rFonts w:ascii="Times New Roman" w:hAnsi="Times New Roman" w:cs="Times New Roman"/>
          <w:b/>
          <w:sz w:val="24"/>
          <w:szCs w:val="24"/>
        </w:rPr>
      </w:pPr>
      <w:r>
        <w:rPr>
          <w:rFonts w:ascii="Times New Roman" w:hAnsi="Times New Roman" w:cs="Times New Roman"/>
          <w:b/>
          <w:w w:val="115"/>
          <w:sz w:val="24"/>
          <w:szCs w:val="24"/>
        </w:rPr>
        <w:t xml:space="preserve">Purchase of HC pump and Spray parts : </w:t>
      </w:r>
      <w:r>
        <w:rPr>
          <w:rFonts w:ascii="Times New Roman" w:hAnsi="Times New Roman" w:cs="Times New Roman"/>
          <w:w w:val="115"/>
          <w:sz w:val="24"/>
          <w:szCs w:val="24"/>
        </w:rPr>
        <w:t xml:space="preserve">IRS </w:t>
      </w:r>
      <w:r>
        <w:rPr>
          <w:rFonts w:ascii="Times New Roman" w:hAnsi="Times New Roman" w:cs="Times New Roman"/>
          <w:sz w:val="24"/>
          <w:szCs w:val="24"/>
        </w:rPr>
        <w:t>is planned to be conducted in 2 Rounds,  in order to provide sufficient quantities of HC pump, it is proposed that 15 HC pumps may be procured. Further, sufficient spare parts need to be available so that the IRS is conducted in good quality. The fund required for procurement of HC Pump and its spare parts is as follow-</w:t>
      </w:r>
    </w:p>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5061"/>
        <w:gridCol w:w="308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Sl.No.</w:t>
            </w:r>
          </w:p>
        </w:tc>
        <w:tc>
          <w:tcPr>
            <w:tcW w:w="5061"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Particulars</w:t>
            </w:r>
          </w:p>
        </w:tc>
        <w:tc>
          <w:tcPr>
            <w:tcW w:w="3081"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Approximate fund requirement(in Rs.)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5061"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Purchase of 15 HC pumps @Rs.8500/- per no. and purchase of spare parts</w:t>
            </w:r>
          </w:p>
        </w:tc>
        <w:tc>
          <w:tcPr>
            <w:tcW w:w="3081" w:type="dxa"/>
            <w:vAlign w:val="center"/>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1,50,000.00</w:t>
            </w:r>
          </w:p>
        </w:tc>
      </w:tr>
    </w:tbl>
    <w:p/>
    <w:p>
      <w:pPr>
        <w:pStyle w:val="9"/>
        <w:widowControl w:val="0"/>
        <w:numPr>
          <w:ilvl w:val="5"/>
          <w:numId w:val="1"/>
        </w:numPr>
        <w:tabs>
          <w:tab w:val="left" w:pos="1920"/>
        </w:tabs>
        <w:autoSpaceDE w:val="0"/>
        <w:autoSpaceDN w:val="0"/>
        <w:spacing w:after="0" w:line="240" w:lineRule="auto"/>
        <w:rPr>
          <w:rFonts w:ascii="Times New Roman" w:hAnsi="Times New Roman" w:cs="Times New Roman"/>
          <w:b/>
          <w:sz w:val="24"/>
          <w:szCs w:val="24"/>
        </w:rPr>
      </w:pPr>
      <w:r>
        <w:rPr>
          <w:rFonts w:ascii="Times New Roman" w:hAnsi="Times New Roman" w:cs="Times New Roman"/>
          <w:b/>
          <w:w w:val="110"/>
          <w:sz w:val="24"/>
          <w:szCs w:val="24"/>
        </w:rPr>
        <w:t>Distribution</w:t>
      </w:r>
      <w:r>
        <w:rPr>
          <w:rFonts w:ascii="Times New Roman" w:hAnsi="Times New Roman" w:cs="Times New Roman"/>
          <w:b/>
          <w:spacing w:val="-6"/>
          <w:w w:val="110"/>
          <w:sz w:val="24"/>
          <w:szCs w:val="24"/>
        </w:rPr>
        <w:t xml:space="preserve"> </w:t>
      </w:r>
      <w:r>
        <w:rPr>
          <w:rFonts w:ascii="Times New Roman" w:hAnsi="Times New Roman" w:cs="Times New Roman"/>
          <w:b/>
          <w:w w:val="110"/>
          <w:sz w:val="24"/>
          <w:szCs w:val="24"/>
        </w:rPr>
        <w:t>of</w:t>
      </w:r>
      <w:r>
        <w:rPr>
          <w:rFonts w:ascii="Times New Roman" w:hAnsi="Times New Roman" w:cs="Times New Roman"/>
          <w:b/>
          <w:spacing w:val="-7"/>
          <w:w w:val="110"/>
          <w:sz w:val="24"/>
          <w:szCs w:val="24"/>
        </w:rPr>
        <w:t xml:space="preserve"> </w:t>
      </w:r>
      <w:r>
        <w:rPr>
          <w:rFonts w:ascii="Times New Roman" w:hAnsi="Times New Roman" w:cs="Times New Roman"/>
          <w:b/>
          <w:w w:val="110"/>
          <w:sz w:val="24"/>
          <w:szCs w:val="24"/>
        </w:rPr>
        <w:t>DDT</w:t>
      </w:r>
      <w:r>
        <w:rPr>
          <w:rFonts w:ascii="Times New Roman" w:hAnsi="Times New Roman" w:cs="Times New Roman"/>
          <w:b/>
          <w:spacing w:val="-12"/>
          <w:w w:val="110"/>
          <w:sz w:val="24"/>
          <w:szCs w:val="24"/>
        </w:rPr>
        <w:t xml:space="preserve"> </w:t>
      </w:r>
      <w:r>
        <w:rPr>
          <w:rFonts w:ascii="Times New Roman" w:hAnsi="Times New Roman" w:cs="Times New Roman"/>
          <w:b/>
          <w:w w:val="110"/>
          <w:sz w:val="24"/>
          <w:szCs w:val="24"/>
        </w:rPr>
        <w:t>from</w:t>
      </w:r>
      <w:r>
        <w:rPr>
          <w:rFonts w:ascii="Times New Roman" w:hAnsi="Times New Roman" w:cs="Times New Roman"/>
          <w:b/>
          <w:spacing w:val="-9"/>
          <w:w w:val="110"/>
          <w:sz w:val="24"/>
          <w:szCs w:val="24"/>
        </w:rPr>
        <w:t xml:space="preserve"> </w:t>
      </w:r>
      <w:r>
        <w:rPr>
          <w:rFonts w:ascii="Times New Roman" w:hAnsi="Times New Roman" w:cs="Times New Roman"/>
          <w:b/>
          <w:w w:val="110"/>
          <w:sz w:val="24"/>
          <w:szCs w:val="24"/>
        </w:rPr>
        <w:t>the</w:t>
      </w:r>
      <w:r>
        <w:rPr>
          <w:rFonts w:ascii="Times New Roman" w:hAnsi="Times New Roman" w:cs="Times New Roman"/>
          <w:b/>
          <w:spacing w:val="-7"/>
          <w:w w:val="110"/>
          <w:sz w:val="24"/>
          <w:szCs w:val="24"/>
        </w:rPr>
        <w:t xml:space="preserve"> </w:t>
      </w:r>
      <w:r>
        <w:rPr>
          <w:rFonts w:ascii="Times New Roman" w:hAnsi="Times New Roman" w:cs="Times New Roman"/>
          <w:b/>
          <w:w w:val="110"/>
          <w:sz w:val="24"/>
          <w:szCs w:val="24"/>
        </w:rPr>
        <w:t>State</w:t>
      </w:r>
      <w:r>
        <w:rPr>
          <w:rFonts w:ascii="Times New Roman" w:hAnsi="Times New Roman" w:cs="Times New Roman"/>
          <w:b/>
          <w:spacing w:val="-8"/>
          <w:w w:val="110"/>
          <w:sz w:val="24"/>
          <w:szCs w:val="24"/>
        </w:rPr>
        <w:t xml:space="preserve"> </w:t>
      </w:r>
      <w:r>
        <w:rPr>
          <w:rFonts w:ascii="Times New Roman" w:hAnsi="Times New Roman" w:cs="Times New Roman"/>
          <w:b/>
          <w:w w:val="110"/>
          <w:sz w:val="24"/>
          <w:szCs w:val="24"/>
        </w:rPr>
        <w:t>to</w:t>
      </w:r>
      <w:r>
        <w:rPr>
          <w:rFonts w:ascii="Times New Roman" w:hAnsi="Times New Roman" w:cs="Times New Roman"/>
          <w:b/>
          <w:spacing w:val="-8"/>
          <w:w w:val="110"/>
          <w:sz w:val="24"/>
          <w:szCs w:val="24"/>
        </w:rPr>
        <w:t xml:space="preserve"> </w:t>
      </w:r>
      <w:r>
        <w:rPr>
          <w:rFonts w:ascii="Times New Roman" w:hAnsi="Times New Roman" w:cs="Times New Roman"/>
          <w:b/>
          <w:w w:val="110"/>
          <w:sz w:val="24"/>
          <w:szCs w:val="24"/>
        </w:rPr>
        <w:t>District</w:t>
      </w:r>
      <w:r>
        <w:rPr>
          <w:rFonts w:ascii="Times New Roman" w:hAnsi="Times New Roman" w:cs="Times New Roman"/>
          <w:b/>
          <w:spacing w:val="-6"/>
          <w:w w:val="110"/>
          <w:sz w:val="24"/>
          <w:szCs w:val="24"/>
        </w:rPr>
        <w:t xml:space="preserve"> </w:t>
      </w:r>
      <w:r>
        <w:rPr>
          <w:rFonts w:ascii="Times New Roman" w:hAnsi="Times New Roman" w:cs="Times New Roman"/>
          <w:b/>
          <w:w w:val="110"/>
          <w:sz w:val="24"/>
          <w:szCs w:val="24"/>
        </w:rPr>
        <w:t>Headquarters</w:t>
      </w:r>
      <w:r>
        <w:rPr>
          <w:rFonts w:ascii="Times New Roman" w:hAnsi="Times New Roman" w:cs="Times New Roman"/>
          <w:b/>
          <w:spacing w:val="-11"/>
          <w:w w:val="110"/>
          <w:sz w:val="24"/>
          <w:szCs w:val="24"/>
        </w:rPr>
        <w:t xml:space="preserve"> </w:t>
      </w:r>
      <w:r>
        <w:rPr>
          <w:rFonts w:ascii="Times New Roman" w:hAnsi="Times New Roman" w:cs="Times New Roman"/>
          <w:b/>
          <w:w w:val="110"/>
          <w:sz w:val="24"/>
          <w:szCs w:val="24"/>
        </w:rPr>
        <w:t xml:space="preserve">: </w:t>
      </w:r>
      <w:r>
        <w:rPr>
          <w:rFonts w:ascii="Times New Roman" w:hAnsi="Times New Roman" w:cs="Times New Roman"/>
          <w:sz w:val="24"/>
          <w:szCs w:val="24"/>
        </w:rPr>
        <w:t>Each District requirement of fund for vehicle hiring for DDT dropping differs according to the terrain, road conditions and distance to be covered. The requirements for DDT dropping are as follows:</w:t>
      </w:r>
    </w:p>
    <w:p>
      <w:pPr>
        <w:pStyle w:val="2"/>
        <w:spacing w:before="6"/>
        <w:rPr>
          <w:sz w:val="24"/>
          <w:szCs w:val="24"/>
        </w:rPr>
      </w:pPr>
    </w:p>
    <w:tbl>
      <w:tblPr>
        <w:tblStyle w:val="6"/>
        <w:tblW w:w="92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1"/>
        <w:gridCol w:w="5302"/>
        <w:gridCol w:w="31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jc w:val="center"/>
        </w:trPr>
        <w:tc>
          <w:tcPr>
            <w:tcW w:w="811" w:type="dxa"/>
          </w:tcPr>
          <w:p>
            <w:pPr>
              <w:pStyle w:val="11"/>
              <w:spacing w:before="133"/>
              <w:ind w:left="107" w:right="99"/>
              <w:jc w:val="center"/>
              <w:rPr>
                <w:b/>
                <w:sz w:val="24"/>
                <w:szCs w:val="24"/>
              </w:rPr>
            </w:pPr>
            <w:r>
              <w:rPr>
                <w:b/>
                <w:sz w:val="24"/>
                <w:szCs w:val="24"/>
              </w:rPr>
              <w:t>Sl.No</w:t>
            </w:r>
          </w:p>
        </w:tc>
        <w:tc>
          <w:tcPr>
            <w:tcW w:w="5302" w:type="dxa"/>
          </w:tcPr>
          <w:p>
            <w:pPr>
              <w:pStyle w:val="11"/>
              <w:spacing w:before="133"/>
              <w:ind w:right="2435"/>
              <w:jc w:val="center"/>
              <w:rPr>
                <w:b/>
                <w:sz w:val="24"/>
                <w:szCs w:val="24"/>
              </w:rPr>
            </w:pPr>
            <w:r>
              <w:rPr>
                <w:b/>
                <w:sz w:val="24"/>
                <w:szCs w:val="24"/>
              </w:rPr>
              <w:t>District</w:t>
            </w:r>
          </w:p>
        </w:tc>
        <w:tc>
          <w:tcPr>
            <w:tcW w:w="3129" w:type="dxa"/>
          </w:tcPr>
          <w:p>
            <w:pPr>
              <w:pStyle w:val="11"/>
              <w:ind w:left="191" w:right="183"/>
              <w:jc w:val="center"/>
              <w:rPr>
                <w:b/>
                <w:sz w:val="24"/>
                <w:szCs w:val="24"/>
              </w:rPr>
            </w:pPr>
            <w:r>
              <w:rPr>
                <w:b/>
                <w:w w:val="105"/>
                <w:sz w:val="24"/>
                <w:szCs w:val="24"/>
              </w:rPr>
              <w:t>Fund required for DDT</w:t>
            </w:r>
          </w:p>
          <w:p>
            <w:pPr>
              <w:pStyle w:val="11"/>
              <w:ind w:left="191" w:right="181"/>
              <w:jc w:val="center"/>
              <w:rPr>
                <w:b/>
                <w:sz w:val="24"/>
                <w:szCs w:val="24"/>
              </w:rPr>
            </w:pPr>
            <w:r>
              <w:rPr>
                <w:b/>
                <w:sz w:val="24"/>
                <w:szCs w:val="24"/>
              </w:rPr>
              <w:t>dropping (Rs)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1</w:t>
            </w:r>
          </w:p>
        </w:tc>
        <w:tc>
          <w:tcPr>
            <w:tcW w:w="5302" w:type="dxa"/>
          </w:tcPr>
          <w:p>
            <w:pPr>
              <w:pStyle w:val="11"/>
              <w:ind w:left="108"/>
              <w:rPr>
                <w:sz w:val="24"/>
                <w:szCs w:val="24"/>
              </w:rPr>
            </w:pPr>
            <w:r>
              <w:rPr>
                <w:sz w:val="24"/>
                <w:szCs w:val="24"/>
              </w:rPr>
              <w:t>Aizawl West</w:t>
            </w:r>
          </w:p>
        </w:tc>
        <w:tc>
          <w:tcPr>
            <w:tcW w:w="3129" w:type="dxa"/>
          </w:tcPr>
          <w:p>
            <w:pPr>
              <w:pStyle w:val="11"/>
              <w:ind w:left="191" w:right="181"/>
              <w:jc w:val="center"/>
              <w:rPr>
                <w:sz w:val="24"/>
                <w:szCs w:val="24"/>
              </w:rPr>
            </w:pPr>
            <w:r>
              <w:rPr>
                <w:sz w:val="24"/>
                <w:szCs w:val="24"/>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2</w:t>
            </w:r>
          </w:p>
        </w:tc>
        <w:tc>
          <w:tcPr>
            <w:tcW w:w="5302" w:type="dxa"/>
          </w:tcPr>
          <w:p>
            <w:pPr>
              <w:pStyle w:val="11"/>
              <w:ind w:left="108"/>
              <w:rPr>
                <w:sz w:val="24"/>
                <w:szCs w:val="24"/>
              </w:rPr>
            </w:pPr>
            <w:r>
              <w:rPr>
                <w:sz w:val="24"/>
                <w:szCs w:val="24"/>
              </w:rPr>
              <w:t>Lunglei</w:t>
            </w:r>
          </w:p>
        </w:tc>
        <w:tc>
          <w:tcPr>
            <w:tcW w:w="3129" w:type="dxa"/>
          </w:tcPr>
          <w:p>
            <w:pPr>
              <w:pStyle w:val="11"/>
              <w:ind w:left="191" w:right="182"/>
              <w:jc w:val="center"/>
              <w:rPr>
                <w:sz w:val="24"/>
                <w:szCs w:val="24"/>
              </w:rPr>
            </w:pPr>
            <w:r>
              <w:rPr>
                <w:sz w:val="24"/>
                <w:szCs w:val="24"/>
              </w:rPr>
              <w:t>15,000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3</w:t>
            </w:r>
          </w:p>
        </w:tc>
        <w:tc>
          <w:tcPr>
            <w:tcW w:w="5302" w:type="dxa"/>
          </w:tcPr>
          <w:p>
            <w:pPr>
              <w:pStyle w:val="11"/>
              <w:ind w:left="108"/>
              <w:rPr>
                <w:sz w:val="24"/>
                <w:szCs w:val="24"/>
              </w:rPr>
            </w:pPr>
            <w:r>
              <w:rPr>
                <w:sz w:val="24"/>
                <w:szCs w:val="24"/>
              </w:rPr>
              <w:t>Lawngtlai</w:t>
            </w:r>
          </w:p>
        </w:tc>
        <w:tc>
          <w:tcPr>
            <w:tcW w:w="3129" w:type="dxa"/>
          </w:tcPr>
          <w:p>
            <w:pPr>
              <w:pStyle w:val="11"/>
              <w:ind w:left="191" w:right="183"/>
              <w:jc w:val="center"/>
              <w:rPr>
                <w:sz w:val="24"/>
                <w:szCs w:val="24"/>
              </w:rPr>
            </w:pPr>
            <w:r>
              <w:rPr>
                <w:sz w:val="24"/>
                <w:szCs w:val="24"/>
              </w:rPr>
              <w:t>30,000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4</w:t>
            </w:r>
          </w:p>
        </w:tc>
        <w:tc>
          <w:tcPr>
            <w:tcW w:w="5302" w:type="dxa"/>
          </w:tcPr>
          <w:p>
            <w:pPr>
              <w:pStyle w:val="11"/>
              <w:ind w:left="108"/>
              <w:rPr>
                <w:sz w:val="24"/>
                <w:szCs w:val="24"/>
              </w:rPr>
            </w:pPr>
            <w:r>
              <w:rPr>
                <w:sz w:val="24"/>
                <w:szCs w:val="24"/>
              </w:rPr>
              <w:t>Kolasib</w:t>
            </w:r>
          </w:p>
        </w:tc>
        <w:tc>
          <w:tcPr>
            <w:tcW w:w="3129" w:type="dxa"/>
          </w:tcPr>
          <w:p>
            <w:pPr>
              <w:pStyle w:val="11"/>
              <w:ind w:left="191" w:right="180"/>
              <w:jc w:val="center"/>
              <w:rPr>
                <w:sz w:val="24"/>
                <w:szCs w:val="24"/>
              </w:rPr>
            </w:pPr>
            <w:r>
              <w:rPr>
                <w:sz w:val="24"/>
                <w:szCs w:val="24"/>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811" w:type="dxa"/>
          </w:tcPr>
          <w:p>
            <w:pPr>
              <w:pStyle w:val="11"/>
              <w:ind w:left="9"/>
              <w:jc w:val="center"/>
              <w:rPr>
                <w:sz w:val="24"/>
                <w:szCs w:val="24"/>
              </w:rPr>
            </w:pPr>
            <w:r>
              <w:rPr>
                <w:sz w:val="24"/>
                <w:szCs w:val="24"/>
              </w:rPr>
              <w:t>5</w:t>
            </w:r>
          </w:p>
        </w:tc>
        <w:tc>
          <w:tcPr>
            <w:tcW w:w="5302" w:type="dxa"/>
          </w:tcPr>
          <w:p>
            <w:pPr>
              <w:pStyle w:val="11"/>
              <w:ind w:left="108"/>
              <w:rPr>
                <w:sz w:val="24"/>
                <w:szCs w:val="24"/>
              </w:rPr>
            </w:pPr>
            <w:r>
              <w:rPr>
                <w:sz w:val="24"/>
                <w:szCs w:val="24"/>
              </w:rPr>
              <w:t>Mamit</w:t>
            </w:r>
          </w:p>
        </w:tc>
        <w:tc>
          <w:tcPr>
            <w:tcW w:w="3129" w:type="dxa"/>
          </w:tcPr>
          <w:p>
            <w:pPr>
              <w:pStyle w:val="11"/>
              <w:ind w:left="191" w:right="182"/>
              <w:jc w:val="center"/>
              <w:rPr>
                <w:sz w:val="24"/>
                <w:szCs w:val="24"/>
              </w:rPr>
            </w:pPr>
            <w:r>
              <w:rPr>
                <w:sz w:val="24"/>
                <w:szCs w:val="24"/>
              </w:rPr>
              <w:t>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6</w:t>
            </w:r>
          </w:p>
        </w:tc>
        <w:tc>
          <w:tcPr>
            <w:tcW w:w="5302" w:type="dxa"/>
          </w:tcPr>
          <w:p>
            <w:pPr>
              <w:pStyle w:val="11"/>
              <w:ind w:left="108"/>
              <w:rPr>
                <w:sz w:val="24"/>
                <w:szCs w:val="24"/>
              </w:rPr>
            </w:pPr>
            <w:r>
              <w:rPr>
                <w:sz w:val="24"/>
                <w:szCs w:val="24"/>
              </w:rPr>
              <w:t>Saiha</w:t>
            </w:r>
          </w:p>
        </w:tc>
        <w:tc>
          <w:tcPr>
            <w:tcW w:w="3129" w:type="dxa"/>
          </w:tcPr>
          <w:p>
            <w:pPr>
              <w:pStyle w:val="11"/>
              <w:ind w:left="191" w:right="182"/>
              <w:jc w:val="center"/>
              <w:rPr>
                <w:sz w:val="24"/>
                <w:szCs w:val="24"/>
              </w:rPr>
            </w:pPr>
            <w:r>
              <w:rPr>
                <w:sz w:val="24"/>
                <w:szCs w:val="24"/>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811" w:type="dxa"/>
          </w:tcPr>
          <w:p>
            <w:pPr>
              <w:pStyle w:val="11"/>
              <w:ind w:left="9"/>
              <w:jc w:val="center"/>
              <w:rPr>
                <w:sz w:val="24"/>
                <w:szCs w:val="24"/>
              </w:rPr>
            </w:pPr>
            <w:r>
              <w:rPr>
                <w:sz w:val="24"/>
                <w:szCs w:val="24"/>
              </w:rPr>
              <w:t>7</w:t>
            </w:r>
          </w:p>
        </w:tc>
        <w:tc>
          <w:tcPr>
            <w:tcW w:w="5302" w:type="dxa"/>
          </w:tcPr>
          <w:p>
            <w:pPr>
              <w:pStyle w:val="11"/>
              <w:ind w:left="108"/>
              <w:rPr>
                <w:sz w:val="24"/>
                <w:szCs w:val="24"/>
              </w:rPr>
            </w:pPr>
            <w:r>
              <w:rPr>
                <w:sz w:val="24"/>
                <w:szCs w:val="24"/>
              </w:rPr>
              <w:t>Aizawl East</w:t>
            </w:r>
          </w:p>
        </w:tc>
        <w:tc>
          <w:tcPr>
            <w:tcW w:w="3129" w:type="dxa"/>
          </w:tcPr>
          <w:p>
            <w:pPr>
              <w:pStyle w:val="11"/>
              <w:ind w:left="191" w:right="182"/>
              <w:jc w:val="center"/>
              <w:rPr>
                <w:sz w:val="24"/>
                <w:szCs w:val="24"/>
              </w:rPr>
            </w:pPr>
            <w:r>
              <w:rPr>
                <w:sz w:val="24"/>
                <w:szCs w:val="24"/>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jc w:val="center"/>
        </w:trPr>
        <w:tc>
          <w:tcPr>
            <w:tcW w:w="6113" w:type="dxa"/>
            <w:gridSpan w:val="2"/>
          </w:tcPr>
          <w:p>
            <w:pPr>
              <w:pStyle w:val="11"/>
              <w:spacing w:before="3"/>
              <w:ind w:left="503"/>
              <w:rPr>
                <w:b/>
                <w:sz w:val="24"/>
                <w:szCs w:val="24"/>
              </w:rPr>
            </w:pPr>
            <w:r>
              <w:rPr>
                <w:b/>
                <w:w w:val="110"/>
                <w:sz w:val="24"/>
                <w:szCs w:val="24"/>
              </w:rPr>
              <w:t>Total fund required for DDT dropping from state to District for the FY 2021-2022</w:t>
            </w:r>
          </w:p>
        </w:tc>
        <w:tc>
          <w:tcPr>
            <w:tcW w:w="3129" w:type="dxa"/>
          </w:tcPr>
          <w:p>
            <w:pPr>
              <w:pStyle w:val="11"/>
              <w:spacing w:before="3"/>
              <w:ind w:left="191" w:right="183"/>
              <w:jc w:val="center"/>
              <w:rPr>
                <w:b/>
                <w:sz w:val="24"/>
                <w:szCs w:val="24"/>
              </w:rPr>
            </w:pPr>
            <w:r>
              <w:rPr>
                <w:b/>
                <w:sz w:val="24"/>
                <w:szCs w:val="24"/>
              </w:rPr>
              <w:fldChar w:fldCharType="begin"/>
            </w:r>
            <w:r>
              <w:rPr>
                <w:b/>
                <w:sz w:val="24"/>
                <w:szCs w:val="24"/>
              </w:rPr>
              <w:instrText xml:space="preserve"> =SUM(ABOVE) </w:instrText>
            </w:r>
            <w:r>
              <w:rPr>
                <w:b/>
                <w:sz w:val="24"/>
                <w:szCs w:val="24"/>
              </w:rPr>
              <w:fldChar w:fldCharType="separate"/>
            </w:r>
            <w:r>
              <w:rPr>
                <w:b/>
                <w:sz w:val="24"/>
                <w:szCs w:val="24"/>
              </w:rPr>
              <w:t>75,200</w:t>
            </w:r>
            <w:r>
              <w:rPr>
                <w:b/>
                <w:sz w:val="24"/>
                <w:szCs w:val="24"/>
              </w:rPr>
              <w:fldChar w:fldCharType="end"/>
            </w:r>
          </w:p>
        </w:tc>
      </w:tr>
    </w:tbl>
    <w:p>
      <w:pPr>
        <w:pStyle w:val="2"/>
        <w:spacing w:before="8"/>
        <w:rPr>
          <w:sz w:val="24"/>
          <w:szCs w:val="24"/>
        </w:rPr>
      </w:pPr>
    </w:p>
    <w:p>
      <w:pPr>
        <w:pStyle w:val="9"/>
        <w:widowControl w:val="0"/>
        <w:numPr>
          <w:ilvl w:val="5"/>
          <w:numId w:val="1"/>
        </w:numPr>
        <w:tabs>
          <w:tab w:val="left" w:pos="1920"/>
        </w:tabs>
        <w:autoSpaceDE w:val="0"/>
        <w:autoSpaceDN w:val="0"/>
        <w:spacing w:after="0" w:line="240" w:lineRule="auto"/>
        <w:rPr>
          <w:rFonts w:ascii="Times New Roman" w:hAnsi="Times New Roman" w:cs="Times New Roman"/>
          <w:b/>
          <w:sz w:val="24"/>
          <w:szCs w:val="24"/>
        </w:rPr>
      </w:pPr>
      <w:r>
        <w:rPr>
          <w:rFonts w:ascii="Times New Roman" w:hAnsi="Times New Roman" w:cs="Times New Roman"/>
          <w:b/>
          <w:w w:val="110"/>
          <w:sz w:val="24"/>
          <w:szCs w:val="24"/>
        </w:rPr>
        <w:t>Equipments including personal protections</w:t>
      </w:r>
      <w:r>
        <w:rPr>
          <w:rFonts w:ascii="Times New Roman" w:hAnsi="Times New Roman" w:cs="Times New Roman"/>
          <w:b/>
          <w:spacing w:val="-29"/>
          <w:w w:val="110"/>
          <w:sz w:val="24"/>
          <w:szCs w:val="24"/>
        </w:rPr>
        <w:t xml:space="preserve"> </w:t>
      </w:r>
      <w:r>
        <w:rPr>
          <w:rFonts w:ascii="Times New Roman" w:hAnsi="Times New Roman" w:cs="Times New Roman"/>
          <w:b/>
          <w:w w:val="110"/>
          <w:sz w:val="24"/>
          <w:szCs w:val="24"/>
        </w:rPr>
        <w:t xml:space="preserve">: </w:t>
      </w:r>
      <w:r>
        <w:rPr>
          <w:rFonts w:ascii="Times New Roman" w:hAnsi="Times New Roman" w:cs="Times New Roman"/>
          <w:sz w:val="24"/>
          <w:szCs w:val="24"/>
        </w:rPr>
        <w:t>The equipments required by the spray teams are:</w:t>
      </w:r>
    </w:p>
    <w:p>
      <w:pPr>
        <w:pStyle w:val="2"/>
        <w:spacing w:before="8"/>
        <w:rPr>
          <w:sz w:val="24"/>
          <w:szCs w:val="24"/>
        </w:rPr>
      </w:pPr>
    </w:p>
    <w:tbl>
      <w:tblPr>
        <w:tblStyle w:val="6"/>
        <w:tblW w:w="85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0"/>
        <w:gridCol w:w="2952"/>
        <w:gridCol w:w="1530"/>
        <w:gridCol w:w="1668"/>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 w:hRule="atLeast"/>
          <w:jc w:val="center"/>
        </w:trPr>
        <w:tc>
          <w:tcPr>
            <w:tcW w:w="890" w:type="dxa"/>
            <w:vAlign w:val="center"/>
          </w:tcPr>
          <w:p>
            <w:pPr>
              <w:pStyle w:val="11"/>
              <w:spacing w:before="8"/>
              <w:jc w:val="center"/>
              <w:rPr>
                <w:b/>
                <w:sz w:val="24"/>
                <w:szCs w:val="24"/>
              </w:rPr>
            </w:pPr>
          </w:p>
          <w:p>
            <w:pPr>
              <w:pStyle w:val="11"/>
              <w:ind w:left="162" w:right="152"/>
              <w:jc w:val="center"/>
              <w:rPr>
                <w:b/>
                <w:sz w:val="24"/>
                <w:szCs w:val="24"/>
              </w:rPr>
            </w:pPr>
            <w:r>
              <w:rPr>
                <w:b/>
                <w:w w:val="105"/>
                <w:sz w:val="24"/>
                <w:szCs w:val="24"/>
              </w:rPr>
              <w:t>Sl no</w:t>
            </w:r>
          </w:p>
        </w:tc>
        <w:tc>
          <w:tcPr>
            <w:tcW w:w="2952" w:type="dxa"/>
            <w:vAlign w:val="center"/>
          </w:tcPr>
          <w:p>
            <w:pPr>
              <w:pStyle w:val="11"/>
              <w:spacing w:before="8"/>
              <w:jc w:val="center"/>
              <w:rPr>
                <w:b/>
                <w:sz w:val="24"/>
                <w:szCs w:val="24"/>
              </w:rPr>
            </w:pPr>
          </w:p>
          <w:p>
            <w:pPr>
              <w:pStyle w:val="11"/>
              <w:ind w:right="1433"/>
              <w:jc w:val="center"/>
              <w:rPr>
                <w:b/>
                <w:sz w:val="24"/>
                <w:szCs w:val="24"/>
              </w:rPr>
            </w:pPr>
            <w:r>
              <w:rPr>
                <w:b/>
                <w:w w:val="110"/>
                <w:sz w:val="24"/>
                <w:szCs w:val="24"/>
              </w:rPr>
              <w:t>Item</w:t>
            </w:r>
          </w:p>
        </w:tc>
        <w:tc>
          <w:tcPr>
            <w:tcW w:w="1530" w:type="dxa"/>
            <w:vAlign w:val="center"/>
          </w:tcPr>
          <w:p>
            <w:pPr>
              <w:pStyle w:val="11"/>
              <w:spacing w:before="8"/>
              <w:jc w:val="center"/>
              <w:rPr>
                <w:b/>
                <w:sz w:val="24"/>
                <w:szCs w:val="24"/>
              </w:rPr>
            </w:pPr>
          </w:p>
          <w:p>
            <w:pPr>
              <w:pStyle w:val="11"/>
              <w:ind w:left="185" w:right="171"/>
              <w:jc w:val="center"/>
              <w:rPr>
                <w:b/>
                <w:sz w:val="24"/>
                <w:szCs w:val="24"/>
              </w:rPr>
            </w:pPr>
            <w:r>
              <w:rPr>
                <w:b/>
                <w:w w:val="110"/>
                <w:sz w:val="24"/>
                <w:szCs w:val="24"/>
              </w:rPr>
              <w:t>Quantity</w:t>
            </w:r>
          </w:p>
        </w:tc>
        <w:tc>
          <w:tcPr>
            <w:tcW w:w="1668" w:type="dxa"/>
            <w:vAlign w:val="center"/>
          </w:tcPr>
          <w:p>
            <w:pPr>
              <w:pStyle w:val="11"/>
              <w:spacing w:before="8"/>
              <w:jc w:val="center"/>
              <w:rPr>
                <w:b/>
                <w:sz w:val="24"/>
                <w:szCs w:val="24"/>
              </w:rPr>
            </w:pPr>
          </w:p>
          <w:p>
            <w:pPr>
              <w:pStyle w:val="11"/>
              <w:ind w:left="204" w:right="198"/>
              <w:jc w:val="center"/>
              <w:rPr>
                <w:b/>
                <w:sz w:val="24"/>
                <w:szCs w:val="24"/>
              </w:rPr>
            </w:pPr>
            <w:r>
              <w:rPr>
                <w:b/>
                <w:w w:val="105"/>
                <w:sz w:val="24"/>
                <w:szCs w:val="24"/>
              </w:rPr>
              <w:t>Cost (Rs)</w:t>
            </w:r>
          </w:p>
        </w:tc>
        <w:tc>
          <w:tcPr>
            <w:tcW w:w="1530" w:type="dxa"/>
            <w:vAlign w:val="center"/>
          </w:tcPr>
          <w:p>
            <w:pPr>
              <w:pStyle w:val="11"/>
              <w:ind w:left="315" w:right="310" w:hanging="2"/>
              <w:jc w:val="center"/>
              <w:rPr>
                <w:b/>
                <w:sz w:val="24"/>
                <w:szCs w:val="24"/>
              </w:rPr>
            </w:pPr>
            <w:r>
              <w:rPr>
                <w:b/>
                <w:w w:val="110"/>
                <w:sz w:val="24"/>
                <w:szCs w:val="24"/>
              </w:rPr>
              <w:t>Fund required</w:t>
            </w:r>
          </w:p>
          <w:p>
            <w:pPr>
              <w:pStyle w:val="11"/>
              <w:ind w:left="244" w:right="243"/>
              <w:jc w:val="center"/>
              <w:rPr>
                <w:b/>
                <w:sz w:val="24"/>
                <w:szCs w:val="24"/>
              </w:rPr>
            </w:pPr>
            <w:r>
              <w:rPr>
                <w:b/>
                <w:sz w:val="24"/>
                <w:szCs w:val="24"/>
              </w:rPr>
              <w:t>(Rs)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jc w:val="center"/>
        </w:trPr>
        <w:tc>
          <w:tcPr>
            <w:tcW w:w="890" w:type="dxa"/>
          </w:tcPr>
          <w:p>
            <w:pPr>
              <w:pStyle w:val="11"/>
              <w:ind w:left="162" w:right="152"/>
              <w:jc w:val="center"/>
              <w:rPr>
                <w:sz w:val="24"/>
                <w:szCs w:val="24"/>
              </w:rPr>
            </w:pPr>
            <w:r>
              <w:rPr>
                <w:sz w:val="24"/>
                <w:szCs w:val="24"/>
              </w:rPr>
              <w:t>1.</w:t>
            </w:r>
          </w:p>
        </w:tc>
        <w:tc>
          <w:tcPr>
            <w:tcW w:w="2952" w:type="dxa"/>
          </w:tcPr>
          <w:p>
            <w:pPr>
              <w:pStyle w:val="11"/>
              <w:ind w:left="108"/>
              <w:rPr>
                <w:sz w:val="24"/>
                <w:szCs w:val="24"/>
              </w:rPr>
            </w:pPr>
            <w:r>
              <w:rPr>
                <w:sz w:val="24"/>
                <w:szCs w:val="24"/>
              </w:rPr>
              <w:t>Apron</w:t>
            </w:r>
          </w:p>
        </w:tc>
        <w:tc>
          <w:tcPr>
            <w:tcW w:w="1530" w:type="dxa"/>
          </w:tcPr>
          <w:p>
            <w:pPr>
              <w:pStyle w:val="11"/>
              <w:ind w:left="181" w:right="171"/>
              <w:jc w:val="center"/>
              <w:rPr>
                <w:sz w:val="24"/>
                <w:szCs w:val="24"/>
              </w:rPr>
            </w:pPr>
            <w:r>
              <w:rPr>
                <w:sz w:val="24"/>
                <w:szCs w:val="24"/>
              </w:rPr>
              <w:t>412</w:t>
            </w:r>
          </w:p>
        </w:tc>
        <w:tc>
          <w:tcPr>
            <w:tcW w:w="1668" w:type="dxa"/>
          </w:tcPr>
          <w:p>
            <w:pPr>
              <w:pStyle w:val="11"/>
              <w:ind w:left="204" w:right="198"/>
              <w:jc w:val="center"/>
              <w:rPr>
                <w:sz w:val="24"/>
                <w:szCs w:val="24"/>
              </w:rPr>
            </w:pPr>
            <w:r>
              <w:rPr>
                <w:sz w:val="24"/>
                <w:szCs w:val="24"/>
              </w:rPr>
              <w:t>250/-</w:t>
            </w:r>
          </w:p>
        </w:tc>
        <w:tc>
          <w:tcPr>
            <w:tcW w:w="1530" w:type="dxa"/>
          </w:tcPr>
          <w:p>
            <w:pPr>
              <w:pStyle w:val="11"/>
              <w:ind w:left="249" w:right="242"/>
              <w:jc w:val="center"/>
              <w:rPr>
                <w:sz w:val="24"/>
                <w:szCs w:val="24"/>
              </w:rPr>
            </w:pPr>
            <w:r>
              <w:rPr>
                <w:sz w:val="24"/>
                <w:szCs w:val="24"/>
              </w:rPr>
              <w:t>1,03,000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890" w:type="dxa"/>
          </w:tcPr>
          <w:p>
            <w:pPr>
              <w:pStyle w:val="11"/>
              <w:ind w:left="162" w:right="152"/>
              <w:jc w:val="center"/>
              <w:rPr>
                <w:sz w:val="24"/>
                <w:szCs w:val="24"/>
              </w:rPr>
            </w:pPr>
            <w:r>
              <w:rPr>
                <w:sz w:val="24"/>
                <w:szCs w:val="24"/>
              </w:rPr>
              <w:t>2.</w:t>
            </w:r>
          </w:p>
        </w:tc>
        <w:tc>
          <w:tcPr>
            <w:tcW w:w="2952" w:type="dxa"/>
          </w:tcPr>
          <w:p>
            <w:pPr>
              <w:pStyle w:val="11"/>
              <w:ind w:left="108"/>
              <w:rPr>
                <w:sz w:val="24"/>
                <w:szCs w:val="24"/>
              </w:rPr>
            </w:pPr>
            <w:r>
              <w:rPr>
                <w:sz w:val="24"/>
                <w:szCs w:val="24"/>
              </w:rPr>
              <w:t>Long sleeve Rubber gloves</w:t>
            </w:r>
          </w:p>
        </w:tc>
        <w:tc>
          <w:tcPr>
            <w:tcW w:w="1530" w:type="dxa"/>
          </w:tcPr>
          <w:p>
            <w:pPr>
              <w:pStyle w:val="11"/>
              <w:ind w:left="181" w:right="171"/>
              <w:jc w:val="center"/>
              <w:rPr>
                <w:sz w:val="24"/>
                <w:szCs w:val="24"/>
              </w:rPr>
            </w:pPr>
            <w:r>
              <w:rPr>
                <w:sz w:val="24"/>
                <w:szCs w:val="24"/>
              </w:rPr>
              <w:t>824</w:t>
            </w:r>
          </w:p>
        </w:tc>
        <w:tc>
          <w:tcPr>
            <w:tcW w:w="1668" w:type="dxa"/>
          </w:tcPr>
          <w:p>
            <w:pPr>
              <w:pStyle w:val="11"/>
              <w:ind w:left="204" w:right="198"/>
              <w:jc w:val="center"/>
              <w:rPr>
                <w:sz w:val="24"/>
                <w:szCs w:val="24"/>
              </w:rPr>
            </w:pPr>
            <w:r>
              <w:rPr>
                <w:sz w:val="24"/>
                <w:szCs w:val="24"/>
              </w:rPr>
              <w:t>200/-</w:t>
            </w:r>
          </w:p>
        </w:tc>
        <w:tc>
          <w:tcPr>
            <w:tcW w:w="1530" w:type="dxa"/>
          </w:tcPr>
          <w:p>
            <w:pPr>
              <w:pStyle w:val="11"/>
              <w:ind w:left="249" w:right="242"/>
              <w:jc w:val="center"/>
              <w:rPr>
                <w:sz w:val="24"/>
                <w:szCs w:val="24"/>
              </w:rPr>
            </w:pPr>
            <w:r>
              <w:rPr>
                <w:sz w:val="24"/>
                <w:szCs w:val="24"/>
              </w:rPr>
              <w:t>1,64,800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890" w:type="dxa"/>
          </w:tcPr>
          <w:p>
            <w:pPr>
              <w:pStyle w:val="11"/>
              <w:ind w:left="162" w:right="152"/>
              <w:jc w:val="center"/>
              <w:rPr>
                <w:sz w:val="24"/>
                <w:szCs w:val="24"/>
              </w:rPr>
            </w:pPr>
            <w:r>
              <w:rPr>
                <w:sz w:val="24"/>
                <w:szCs w:val="24"/>
              </w:rPr>
              <w:t>3.</w:t>
            </w:r>
          </w:p>
        </w:tc>
        <w:tc>
          <w:tcPr>
            <w:tcW w:w="2952" w:type="dxa"/>
          </w:tcPr>
          <w:p>
            <w:pPr>
              <w:pStyle w:val="11"/>
              <w:ind w:left="108"/>
              <w:rPr>
                <w:sz w:val="24"/>
                <w:szCs w:val="24"/>
              </w:rPr>
            </w:pPr>
            <w:r>
              <w:rPr>
                <w:w w:val="105"/>
                <w:sz w:val="24"/>
                <w:szCs w:val="24"/>
              </w:rPr>
              <w:t>Disposable Face Masks</w:t>
            </w:r>
          </w:p>
        </w:tc>
        <w:tc>
          <w:tcPr>
            <w:tcW w:w="1530" w:type="dxa"/>
          </w:tcPr>
          <w:p>
            <w:pPr>
              <w:pStyle w:val="11"/>
              <w:ind w:left="181" w:right="171"/>
              <w:jc w:val="center"/>
              <w:rPr>
                <w:sz w:val="24"/>
                <w:szCs w:val="24"/>
              </w:rPr>
            </w:pPr>
            <w:r>
              <w:rPr>
                <w:sz w:val="24"/>
                <w:szCs w:val="24"/>
              </w:rPr>
              <w:t>82400</w:t>
            </w:r>
          </w:p>
        </w:tc>
        <w:tc>
          <w:tcPr>
            <w:tcW w:w="1668" w:type="dxa"/>
          </w:tcPr>
          <w:p>
            <w:pPr>
              <w:pStyle w:val="11"/>
              <w:ind w:left="204" w:right="198"/>
              <w:jc w:val="center"/>
              <w:rPr>
                <w:sz w:val="24"/>
                <w:szCs w:val="24"/>
              </w:rPr>
            </w:pPr>
            <w:r>
              <w:rPr>
                <w:sz w:val="24"/>
                <w:szCs w:val="24"/>
              </w:rPr>
              <w:t>5/-</w:t>
            </w:r>
          </w:p>
        </w:tc>
        <w:tc>
          <w:tcPr>
            <w:tcW w:w="1530" w:type="dxa"/>
          </w:tcPr>
          <w:p>
            <w:pPr>
              <w:pStyle w:val="11"/>
              <w:ind w:left="249" w:right="242"/>
              <w:jc w:val="center"/>
              <w:rPr>
                <w:sz w:val="24"/>
                <w:szCs w:val="24"/>
              </w:rPr>
            </w:pPr>
            <w:r>
              <w:rPr>
                <w:sz w:val="24"/>
                <w:szCs w:val="24"/>
              </w:rPr>
              <w:t>4,12,000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890" w:type="dxa"/>
          </w:tcPr>
          <w:p>
            <w:pPr>
              <w:pStyle w:val="11"/>
              <w:ind w:left="162" w:right="152"/>
              <w:jc w:val="center"/>
              <w:rPr>
                <w:sz w:val="24"/>
                <w:szCs w:val="24"/>
              </w:rPr>
            </w:pPr>
            <w:r>
              <w:rPr>
                <w:sz w:val="24"/>
                <w:szCs w:val="24"/>
              </w:rPr>
              <w:t>4.</w:t>
            </w:r>
          </w:p>
        </w:tc>
        <w:tc>
          <w:tcPr>
            <w:tcW w:w="2952" w:type="dxa"/>
          </w:tcPr>
          <w:p>
            <w:pPr>
              <w:pStyle w:val="11"/>
              <w:ind w:left="108"/>
              <w:rPr>
                <w:sz w:val="24"/>
                <w:szCs w:val="24"/>
              </w:rPr>
            </w:pPr>
            <w:r>
              <w:rPr>
                <w:sz w:val="24"/>
                <w:szCs w:val="24"/>
              </w:rPr>
              <w:t>Towels</w:t>
            </w:r>
          </w:p>
        </w:tc>
        <w:tc>
          <w:tcPr>
            <w:tcW w:w="1530" w:type="dxa"/>
          </w:tcPr>
          <w:p>
            <w:pPr>
              <w:pStyle w:val="11"/>
              <w:ind w:left="181" w:right="171"/>
              <w:jc w:val="center"/>
              <w:rPr>
                <w:sz w:val="24"/>
                <w:szCs w:val="24"/>
              </w:rPr>
            </w:pPr>
            <w:r>
              <w:rPr>
                <w:sz w:val="24"/>
                <w:szCs w:val="24"/>
              </w:rPr>
              <w:t>824</w:t>
            </w:r>
          </w:p>
        </w:tc>
        <w:tc>
          <w:tcPr>
            <w:tcW w:w="1668" w:type="dxa"/>
          </w:tcPr>
          <w:p>
            <w:pPr>
              <w:pStyle w:val="11"/>
              <w:ind w:left="204" w:right="198"/>
              <w:jc w:val="center"/>
              <w:rPr>
                <w:sz w:val="24"/>
                <w:szCs w:val="24"/>
              </w:rPr>
            </w:pPr>
            <w:r>
              <w:rPr>
                <w:sz w:val="24"/>
                <w:szCs w:val="24"/>
              </w:rPr>
              <w:t>100/-</w:t>
            </w:r>
          </w:p>
        </w:tc>
        <w:tc>
          <w:tcPr>
            <w:tcW w:w="1530" w:type="dxa"/>
          </w:tcPr>
          <w:p>
            <w:pPr>
              <w:pStyle w:val="11"/>
              <w:ind w:left="249" w:right="242"/>
              <w:jc w:val="center"/>
              <w:rPr>
                <w:sz w:val="24"/>
                <w:szCs w:val="24"/>
              </w:rPr>
            </w:pPr>
            <w:r>
              <w:rPr>
                <w:sz w:val="24"/>
                <w:szCs w:val="24"/>
              </w:rPr>
              <w:t>82,400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890" w:type="dxa"/>
          </w:tcPr>
          <w:p>
            <w:pPr>
              <w:pStyle w:val="11"/>
              <w:ind w:left="162" w:right="152"/>
              <w:jc w:val="center"/>
              <w:rPr>
                <w:sz w:val="24"/>
                <w:szCs w:val="24"/>
              </w:rPr>
            </w:pPr>
            <w:r>
              <w:rPr>
                <w:sz w:val="24"/>
                <w:szCs w:val="24"/>
              </w:rPr>
              <w:t>5.</w:t>
            </w:r>
          </w:p>
        </w:tc>
        <w:tc>
          <w:tcPr>
            <w:tcW w:w="2952" w:type="dxa"/>
          </w:tcPr>
          <w:p>
            <w:pPr>
              <w:pStyle w:val="11"/>
              <w:ind w:left="108"/>
              <w:rPr>
                <w:sz w:val="24"/>
                <w:szCs w:val="24"/>
              </w:rPr>
            </w:pPr>
            <w:r>
              <w:rPr>
                <w:w w:val="105"/>
                <w:sz w:val="24"/>
                <w:szCs w:val="24"/>
              </w:rPr>
              <w:t>Soaps</w:t>
            </w:r>
          </w:p>
        </w:tc>
        <w:tc>
          <w:tcPr>
            <w:tcW w:w="1530" w:type="dxa"/>
          </w:tcPr>
          <w:p>
            <w:pPr>
              <w:pStyle w:val="11"/>
              <w:ind w:left="181" w:right="171"/>
              <w:jc w:val="center"/>
              <w:rPr>
                <w:sz w:val="24"/>
                <w:szCs w:val="24"/>
              </w:rPr>
            </w:pPr>
            <w:r>
              <w:rPr>
                <w:sz w:val="24"/>
                <w:szCs w:val="24"/>
              </w:rPr>
              <w:t>824</w:t>
            </w:r>
          </w:p>
        </w:tc>
        <w:tc>
          <w:tcPr>
            <w:tcW w:w="1668" w:type="dxa"/>
          </w:tcPr>
          <w:p>
            <w:pPr>
              <w:pStyle w:val="11"/>
              <w:ind w:left="204" w:right="198"/>
              <w:jc w:val="center"/>
              <w:rPr>
                <w:sz w:val="24"/>
                <w:szCs w:val="24"/>
              </w:rPr>
            </w:pPr>
            <w:r>
              <w:rPr>
                <w:sz w:val="24"/>
                <w:szCs w:val="24"/>
              </w:rPr>
              <w:t>10/-</w:t>
            </w:r>
          </w:p>
        </w:tc>
        <w:tc>
          <w:tcPr>
            <w:tcW w:w="1530" w:type="dxa"/>
          </w:tcPr>
          <w:p>
            <w:pPr>
              <w:pStyle w:val="11"/>
              <w:ind w:left="249" w:right="242"/>
              <w:jc w:val="center"/>
              <w:rPr>
                <w:sz w:val="24"/>
                <w:szCs w:val="24"/>
              </w:rPr>
            </w:pPr>
            <w:r>
              <w:rPr>
                <w:sz w:val="24"/>
                <w:szCs w:val="24"/>
              </w:rPr>
              <w:t>8,240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890" w:type="dxa"/>
          </w:tcPr>
          <w:p>
            <w:pPr>
              <w:pStyle w:val="11"/>
              <w:ind w:left="162" w:right="152"/>
              <w:jc w:val="center"/>
              <w:rPr>
                <w:sz w:val="24"/>
                <w:szCs w:val="24"/>
              </w:rPr>
            </w:pPr>
            <w:r>
              <w:rPr>
                <w:sz w:val="24"/>
                <w:szCs w:val="24"/>
              </w:rPr>
              <w:t>6.</w:t>
            </w:r>
          </w:p>
        </w:tc>
        <w:tc>
          <w:tcPr>
            <w:tcW w:w="2952" w:type="dxa"/>
          </w:tcPr>
          <w:p>
            <w:pPr>
              <w:pStyle w:val="11"/>
              <w:ind w:left="108"/>
              <w:rPr>
                <w:w w:val="105"/>
                <w:sz w:val="24"/>
                <w:szCs w:val="24"/>
              </w:rPr>
            </w:pPr>
            <w:r>
              <w:rPr>
                <w:w w:val="105"/>
                <w:sz w:val="24"/>
                <w:szCs w:val="24"/>
              </w:rPr>
              <w:t>Caps</w:t>
            </w:r>
          </w:p>
        </w:tc>
        <w:tc>
          <w:tcPr>
            <w:tcW w:w="1530" w:type="dxa"/>
          </w:tcPr>
          <w:p>
            <w:pPr>
              <w:pStyle w:val="11"/>
              <w:ind w:left="181" w:right="171"/>
              <w:jc w:val="center"/>
              <w:rPr>
                <w:sz w:val="24"/>
                <w:szCs w:val="24"/>
              </w:rPr>
            </w:pPr>
            <w:r>
              <w:rPr>
                <w:sz w:val="24"/>
                <w:szCs w:val="24"/>
              </w:rPr>
              <w:t>824</w:t>
            </w:r>
          </w:p>
        </w:tc>
        <w:tc>
          <w:tcPr>
            <w:tcW w:w="1668" w:type="dxa"/>
          </w:tcPr>
          <w:p>
            <w:pPr>
              <w:pStyle w:val="11"/>
              <w:ind w:left="204" w:right="198"/>
              <w:jc w:val="center"/>
              <w:rPr>
                <w:sz w:val="24"/>
                <w:szCs w:val="24"/>
              </w:rPr>
            </w:pPr>
            <w:r>
              <w:rPr>
                <w:sz w:val="24"/>
                <w:szCs w:val="24"/>
              </w:rPr>
              <w:t>50/-</w:t>
            </w:r>
          </w:p>
        </w:tc>
        <w:tc>
          <w:tcPr>
            <w:tcW w:w="1530" w:type="dxa"/>
          </w:tcPr>
          <w:p>
            <w:pPr>
              <w:pStyle w:val="11"/>
              <w:ind w:left="249" w:right="242"/>
              <w:jc w:val="center"/>
              <w:rPr>
                <w:sz w:val="24"/>
                <w:szCs w:val="24"/>
              </w:rPr>
            </w:pPr>
            <w:r>
              <w:rPr>
                <w:sz w:val="24"/>
                <w:szCs w:val="24"/>
              </w:rPr>
              <w:t>41,200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jc w:val="center"/>
        </w:trPr>
        <w:tc>
          <w:tcPr>
            <w:tcW w:w="7040" w:type="dxa"/>
            <w:gridSpan w:val="4"/>
          </w:tcPr>
          <w:p>
            <w:pPr>
              <w:pStyle w:val="11"/>
              <w:ind w:left="635"/>
              <w:rPr>
                <w:b/>
                <w:sz w:val="24"/>
                <w:szCs w:val="24"/>
              </w:rPr>
            </w:pPr>
            <w:r>
              <w:rPr>
                <w:b/>
                <w:w w:val="105"/>
                <w:sz w:val="24"/>
                <w:szCs w:val="24"/>
              </w:rPr>
              <w:t>Total Fund required for IRS equipments for 2021 – 2022</w:t>
            </w:r>
          </w:p>
        </w:tc>
        <w:tc>
          <w:tcPr>
            <w:tcW w:w="1530" w:type="dxa"/>
          </w:tcPr>
          <w:p>
            <w:pPr>
              <w:pStyle w:val="11"/>
              <w:ind w:left="248" w:right="243"/>
              <w:rPr>
                <w:b/>
                <w:sz w:val="24"/>
                <w:szCs w:val="24"/>
              </w:rPr>
            </w:pPr>
            <w:r>
              <w:rPr>
                <w:b/>
                <w:sz w:val="24"/>
                <w:szCs w:val="24"/>
              </w:rPr>
              <w:t>8,11,640</w:t>
            </w:r>
          </w:p>
        </w:tc>
      </w:tr>
    </w:tbl>
    <w:p>
      <w:pPr>
        <w:spacing w:before="74" w:after="0" w:line="240" w:lineRule="auto"/>
        <w:rPr>
          <w:rFonts w:ascii="Times New Roman" w:hAnsi="Times New Roman" w:cs="Times New Roman"/>
          <w:b/>
          <w:sz w:val="24"/>
          <w:szCs w:val="24"/>
        </w:rPr>
      </w:pPr>
    </w:p>
    <w:p>
      <w:pPr>
        <w:spacing w:before="74" w:after="0" w:line="240" w:lineRule="auto"/>
        <w:rPr>
          <w:rFonts w:ascii="Times New Roman" w:hAnsi="Times New Roman" w:cs="Times New Roman"/>
          <w:b/>
          <w:sz w:val="24"/>
          <w:szCs w:val="24"/>
        </w:rPr>
      </w:pPr>
      <w:r>
        <w:rPr>
          <w:rFonts w:ascii="Times New Roman" w:hAnsi="Times New Roman" w:cs="Times New Roman"/>
          <w:b/>
          <w:sz w:val="24"/>
          <w:szCs w:val="24"/>
        </w:rPr>
        <w:t>DISTRICT:</w:t>
      </w:r>
    </w:p>
    <w:p>
      <w:pPr>
        <w:spacing w:before="74" w:after="0" w:line="240" w:lineRule="auto"/>
        <w:ind w:left="1560"/>
        <w:rPr>
          <w:rFonts w:ascii="Times New Roman" w:hAnsi="Times New Roman" w:cs="Times New Roman"/>
          <w:sz w:val="24"/>
          <w:szCs w:val="24"/>
        </w:rPr>
      </w:pPr>
      <w:r>
        <w:rPr>
          <w:rFonts w:ascii="Times New Roman" w:hAnsi="Times New Roman" w:cs="Times New Roman"/>
          <w:b/>
          <w:w w:val="110"/>
          <w:sz w:val="24"/>
          <w:szCs w:val="24"/>
        </w:rPr>
        <w:t>Distribution of DDT within the district</w:t>
      </w:r>
      <w:r>
        <w:rPr>
          <w:rFonts w:ascii="Times New Roman" w:hAnsi="Times New Roman" w:cs="Times New Roman"/>
          <w:w w:val="110"/>
          <w:sz w:val="24"/>
          <w:szCs w:val="24"/>
        </w:rPr>
        <w:t xml:space="preserve">: </w:t>
      </w:r>
      <w:r>
        <w:rPr>
          <w:rFonts w:ascii="Times New Roman" w:hAnsi="Times New Roman" w:cs="Times New Roman"/>
          <w:sz w:val="24"/>
          <w:szCs w:val="24"/>
        </w:rPr>
        <w:t>A total of 60 days of spray undertaking which is divided into 2 rounds, March consist the first round and June the second round will be carried out. All the DTT requirements for the two rounds are dropped before first round to each PHCs/ MCs, Sub – Centers. Each PHC/MC requirement of fund for vehicle hiring for DDT dropping differs according to the terrain, road conditions and distance to be covered. The requirements for DDT dropping for each district are as</w:t>
      </w:r>
      <w:r>
        <w:rPr>
          <w:rFonts w:ascii="Times New Roman" w:hAnsi="Times New Roman" w:cs="Times New Roman"/>
          <w:spacing w:val="-4"/>
          <w:sz w:val="24"/>
          <w:szCs w:val="24"/>
        </w:rPr>
        <w:t xml:space="preserve"> </w:t>
      </w:r>
      <w:r>
        <w:rPr>
          <w:rFonts w:ascii="Times New Roman" w:hAnsi="Times New Roman" w:cs="Times New Roman"/>
          <w:sz w:val="24"/>
          <w:szCs w:val="24"/>
        </w:rPr>
        <w:t>follows:</w:t>
      </w:r>
    </w:p>
    <w:p>
      <w:pPr>
        <w:spacing w:after="0" w:line="240" w:lineRule="auto"/>
        <w:ind w:right="705" w:firstLine="1440"/>
        <w:jc w:val="both"/>
        <w:rPr>
          <w:rFonts w:ascii="Times New Roman" w:hAnsi="Times New Roman" w:cs="Times New Roman"/>
          <w:sz w:val="24"/>
          <w:szCs w:val="24"/>
        </w:rPr>
      </w:pPr>
    </w:p>
    <w:tbl>
      <w:tblPr>
        <w:tblStyle w:val="6"/>
        <w:tblW w:w="4123" w:type="pct"/>
        <w:jc w:val="center"/>
        <w:tblLayout w:type="fixed"/>
        <w:tblCellMar>
          <w:top w:w="0" w:type="dxa"/>
          <w:left w:w="108" w:type="dxa"/>
          <w:bottom w:w="0" w:type="dxa"/>
          <w:right w:w="108" w:type="dxa"/>
        </w:tblCellMar>
      </w:tblPr>
      <w:tblGrid>
        <w:gridCol w:w="817"/>
        <w:gridCol w:w="4962"/>
        <w:gridCol w:w="1843"/>
      </w:tblGrid>
      <w:tr>
        <w:tblPrEx>
          <w:tblCellMar>
            <w:top w:w="0" w:type="dxa"/>
            <w:left w:w="108" w:type="dxa"/>
            <w:bottom w:w="0" w:type="dxa"/>
            <w:right w:w="108" w:type="dxa"/>
          </w:tblCellMar>
        </w:tblPrEx>
        <w:trPr>
          <w:trHeight w:val="979" w:hRule="atLeast"/>
          <w:jc w:val="center"/>
        </w:trPr>
        <w:tc>
          <w:tcPr>
            <w:tcW w:w="536" w:type="pct"/>
            <w:tcBorders>
              <w:top w:val="single" w:color="auto" w:sz="8" w:space="0"/>
              <w:left w:val="single" w:color="auto" w:sz="8" w:space="0"/>
              <w:bottom w:val="single" w:color="auto" w:sz="8" w:space="0"/>
              <w:right w:val="single" w:color="auto" w:sz="8"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Sl.No</w:t>
            </w:r>
          </w:p>
        </w:tc>
        <w:tc>
          <w:tcPr>
            <w:tcW w:w="3255" w:type="pct"/>
            <w:tcBorders>
              <w:top w:val="single" w:color="auto" w:sz="8" w:space="0"/>
              <w:left w:val="nil"/>
              <w:bottom w:val="single" w:color="auto" w:sz="8" w:space="0"/>
              <w:right w:val="single" w:color="auto" w:sz="8"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District</w:t>
            </w:r>
          </w:p>
        </w:tc>
        <w:tc>
          <w:tcPr>
            <w:tcW w:w="1209" w:type="pct"/>
            <w:tcBorders>
              <w:top w:val="single" w:color="auto" w:sz="8" w:space="0"/>
              <w:left w:val="nil"/>
              <w:bottom w:val="single" w:color="auto" w:sz="8" w:space="0"/>
              <w:right w:val="single" w:color="auto" w:sz="8"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Fund required for DDT dropping (Rs)</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Aizawl East</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60,000</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Aizawl West</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40,000</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Lunglei</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3,00,000</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Lawngtlai</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4,43,085</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5</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Kolasib</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6,000</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Mamit</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1,13,000</w:t>
            </w:r>
          </w:p>
        </w:tc>
      </w:tr>
      <w:tr>
        <w:tblPrEx>
          <w:tblCellMar>
            <w:top w:w="0" w:type="dxa"/>
            <w:left w:w="108" w:type="dxa"/>
            <w:bottom w:w="0" w:type="dxa"/>
            <w:right w:w="108" w:type="dxa"/>
          </w:tblCellMar>
        </w:tblPrEx>
        <w:trPr>
          <w:trHeight w:val="330" w:hRule="atLeast"/>
          <w:jc w:val="center"/>
        </w:trPr>
        <w:tc>
          <w:tcPr>
            <w:tcW w:w="536" w:type="pct"/>
            <w:tcBorders>
              <w:top w:val="nil"/>
              <w:left w:val="single" w:color="auto" w:sz="8" w:space="0"/>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w:t>
            </w:r>
          </w:p>
        </w:tc>
        <w:tc>
          <w:tcPr>
            <w:tcW w:w="3255" w:type="pct"/>
            <w:tcBorders>
              <w:top w:val="nil"/>
              <w:left w:val="nil"/>
              <w:bottom w:val="single" w:color="auto" w:sz="8" w:space="0"/>
              <w:right w:val="single" w:color="auto" w:sz="8" w:space="0"/>
            </w:tcBorders>
            <w:shd w:val="clear" w:color="auto" w:fill="auto"/>
            <w:noWrap/>
          </w:tcPr>
          <w:p>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Saiha</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1,00,000</w:t>
            </w:r>
          </w:p>
        </w:tc>
      </w:tr>
      <w:tr>
        <w:tblPrEx>
          <w:tblCellMar>
            <w:top w:w="0" w:type="dxa"/>
            <w:left w:w="108" w:type="dxa"/>
            <w:bottom w:w="0" w:type="dxa"/>
            <w:right w:w="108" w:type="dxa"/>
          </w:tblCellMar>
        </w:tblPrEx>
        <w:trPr>
          <w:trHeight w:val="330" w:hRule="atLeast"/>
          <w:jc w:val="center"/>
        </w:trPr>
        <w:tc>
          <w:tcPr>
            <w:tcW w:w="3791" w:type="pct"/>
            <w:gridSpan w:val="2"/>
            <w:tcBorders>
              <w:top w:val="single" w:color="auto" w:sz="8" w:space="0"/>
              <w:left w:val="single" w:color="auto" w:sz="8" w:space="0"/>
              <w:bottom w:val="single" w:color="auto" w:sz="8" w:space="0"/>
              <w:right w:val="single" w:color="000000" w:sz="8" w:space="0"/>
            </w:tcBorders>
            <w:shd w:val="clear" w:color="auto" w:fill="auto"/>
            <w:noWrap/>
          </w:tcPr>
          <w:p>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Total fund required for DDT dropping from District to periphery for FY 2021-2022</w:t>
            </w:r>
          </w:p>
        </w:tc>
        <w:tc>
          <w:tcPr>
            <w:tcW w:w="1209" w:type="pct"/>
            <w:tcBorders>
              <w:top w:val="nil"/>
              <w:left w:val="nil"/>
              <w:bottom w:val="single" w:color="auto" w:sz="8" w:space="0"/>
              <w:right w:val="single" w:color="auto" w:sz="8" w:space="0"/>
            </w:tcBorders>
            <w:shd w:val="clear" w:color="auto" w:fill="auto"/>
            <w:noWrap/>
          </w:tcPr>
          <w:p>
            <w:pPr>
              <w:spacing w:after="0" w:line="240" w:lineRule="auto"/>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10,62,085</w:t>
            </w:r>
          </w:p>
        </w:tc>
      </w:tr>
    </w:tbl>
    <w:p>
      <w:pPr>
        <w:pStyle w:val="2"/>
        <w:spacing w:before="5"/>
        <w:rPr>
          <w:sz w:val="24"/>
          <w:szCs w:val="24"/>
        </w:rPr>
      </w:pPr>
    </w:p>
    <w:p>
      <w:pPr>
        <w:pStyle w:val="2"/>
        <w:spacing w:before="10"/>
        <w:rPr>
          <w:color w:val="FF0000"/>
          <w:sz w:val="24"/>
          <w:szCs w:val="24"/>
        </w:rPr>
      </w:pPr>
    </w:p>
    <w:p>
      <w:pPr>
        <w:spacing w:after="0" w:line="240" w:lineRule="auto"/>
        <w:jc w:val="center"/>
      </w:pPr>
      <w:r>
        <w:rPr>
          <w:rFonts w:ascii="Times New Roman" w:hAnsi="Times New Roman" w:cs="Times New Roman"/>
          <w:b/>
          <w:w w:val="105"/>
          <w:sz w:val="24"/>
          <w:szCs w:val="24"/>
        </w:rPr>
        <w:t>TOTAL FUNDS REQUIRED UNDER OPERATIONAL COST FOR IRS AMOUNTS TO Rs. 20.9</w:t>
      </w:r>
      <w:r>
        <w:rPr>
          <w:rFonts w:hint="default" w:ascii="Times New Roman" w:hAnsi="Times New Roman" w:cs="Times New Roman"/>
          <w:b/>
          <w:w w:val="105"/>
          <w:sz w:val="24"/>
          <w:szCs w:val="24"/>
          <w:lang w:val="en-US"/>
        </w:rPr>
        <w:t>9</w:t>
      </w:r>
      <w:bookmarkStart w:id="0" w:name="_GoBack"/>
      <w:bookmarkEnd w:id="0"/>
      <w:r>
        <w:rPr>
          <w:rFonts w:ascii="Times New Roman" w:hAnsi="Times New Roman" w:cs="Times New Roman"/>
          <w:b/>
          <w:w w:val="105"/>
          <w:sz w:val="24"/>
          <w:szCs w:val="24"/>
        </w:rPr>
        <w:t>/- lakhs</w:t>
      </w:r>
    </w:p>
    <w:sectPr>
      <w:pgSz w:w="11907" w:h="16839"/>
      <w:pgMar w:top="1440" w:right="1440" w:bottom="1134"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A578F"/>
    <w:multiLevelType w:val="multilevel"/>
    <w:tmpl w:val="1BBA578F"/>
    <w:lvl w:ilvl="0" w:tentative="0">
      <w:start w:val="3"/>
      <w:numFmt w:val="decimal"/>
      <w:lvlText w:val="%1"/>
      <w:lvlJc w:val="left"/>
      <w:pPr>
        <w:ind w:left="1681" w:hanging="842"/>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1"/>
      <w:numFmt w:val="lowerLetter"/>
      <w:lvlText w:val="%6)"/>
      <w:lvlJc w:val="left"/>
      <w:pPr>
        <w:ind w:left="1920" w:hanging="360"/>
      </w:pPr>
      <w:rPr>
        <w:rFonts w:hint="default" w:ascii="Times New Roman" w:hAnsi="Times New Roman" w:eastAsia="Times New Roman" w:cs="Times New Roman"/>
        <w:b/>
        <w:spacing w:val="-20"/>
        <w:w w:val="99"/>
        <w:sz w:val="24"/>
        <w:szCs w:val="24"/>
      </w:rPr>
    </w:lvl>
    <w:lvl w:ilvl="6" w:tentative="0">
      <w:start w:val="1"/>
      <w:numFmt w:val="decimal"/>
      <w:lvlText w:val="%7."/>
      <w:lvlJc w:val="left"/>
      <w:pPr>
        <w:ind w:left="3360" w:hanging="360"/>
      </w:pPr>
      <w:rPr>
        <w:rFonts w:hint="default" w:ascii="Times New Roman" w:hAnsi="Times New Roman" w:eastAsia="Times New Roman" w:cs="Times New Roman"/>
        <w:spacing w:val="-29"/>
        <w:w w:val="99"/>
        <w:sz w:val="24"/>
        <w:szCs w:val="24"/>
      </w:rPr>
    </w:lvl>
    <w:lvl w:ilvl="7" w:tentative="0">
      <w:start w:val="0"/>
      <w:numFmt w:val="bullet"/>
      <w:lvlText w:val="•"/>
      <w:lvlJc w:val="left"/>
      <w:pPr>
        <w:ind w:left="8151" w:hanging="360"/>
      </w:pPr>
      <w:rPr>
        <w:rFonts w:hint="default"/>
      </w:rPr>
    </w:lvl>
    <w:lvl w:ilvl="8" w:tentative="0">
      <w:start w:val="0"/>
      <w:numFmt w:val="bullet"/>
      <w:lvlText w:val="•"/>
      <w:lvlJc w:val="left"/>
      <w:pPr>
        <w:ind w:left="910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9D2812"/>
    <w:rsid w:val="00082A19"/>
    <w:rsid w:val="000D6CAC"/>
    <w:rsid w:val="00113F03"/>
    <w:rsid w:val="001470F6"/>
    <w:rsid w:val="00154D4E"/>
    <w:rsid w:val="00176B1B"/>
    <w:rsid w:val="001B4D82"/>
    <w:rsid w:val="00245540"/>
    <w:rsid w:val="00290B60"/>
    <w:rsid w:val="002E32F0"/>
    <w:rsid w:val="00300C05"/>
    <w:rsid w:val="00402C48"/>
    <w:rsid w:val="00483F1E"/>
    <w:rsid w:val="004A17DC"/>
    <w:rsid w:val="0072220B"/>
    <w:rsid w:val="007D0F63"/>
    <w:rsid w:val="00810DB2"/>
    <w:rsid w:val="0083445E"/>
    <w:rsid w:val="00882761"/>
    <w:rsid w:val="008A48BA"/>
    <w:rsid w:val="009318E1"/>
    <w:rsid w:val="0093313E"/>
    <w:rsid w:val="009828A0"/>
    <w:rsid w:val="009B3085"/>
    <w:rsid w:val="009D2812"/>
    <w:rsid w:val="009D6CDA"/>
    <w:rsid w:val="00A704FC"/>
    <w:rsid w:val="00AE4559"/>
    <w:rsid w:val="00AF7923"/>
    <w:rsid w:val="00B26AE2"/>
    <w:rsid w:val="00BC524E"/>
    <w:rsid w:val="00BE7466"/>
    <w:rsid w:val="00C14A7F"/>
    <w:rsid w:val="00C3086B"/>
    <w:rsid w:val="00D8594D"/>
    <w:rsid w:val="00E03CFF"/>
    <w:rsid w:val="00E46F19"/>
    <w:rsid w:val="00E66F9A"/>
    <w:rsid w:val="00F30486"/>
    <w:rsid w:val="5CD1486F"/>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1"/>
    <w:pPr>
      <w:widowControl w:val="0"/>
      <w:autoSpaceDE w:val="0"/>
      <w:autoSpaceDN w:val="0"/>
      <w:spacing w:after="0" w:line="240" w:lineRule="auto"/>
    </w:pPr>
    <w:rPr>
      <w:rFonts w:ascii="Times New Roman" w:hAnsi="Times New Roman" w:eastAsia="Times New Roman" w:cs="Times New Roman"/>
      <w:sz w:val="23"/>
      <w:szCs w:val="23"/>
    </w:rPr>
  </w:style>
  <w:style w:type="paragraph" w:styleId="3">
    <w:name w:val="footer"/>
    <w:basedOn w:val="1"/>
    <w:link w:val="13"/>
    <w:semiHidden/>
    <w:unhideWhenUsed/>
    <w:uiPriority w:val="99"/>
    <w:pPr>
      <w:tabs>
        <w:tab w:val="center" w:pos="4513"/>
        <w:tab w:val="right" w:pos="9026"/>
      </w:tabs>
      <w:spacing w:after="0" w:line="240" w:lineRule="auto"/>
    </w:pPr>
  </w:style>
  <w:style w:type="paragraph" w:styleId="4">
    <w:name w:val="header"/>
    <w:basedOn w:val="1"/>
    <w:link w:val="12"/>
    <w:semiHidden/>
    <w:unhideWhenUsed/>
    <w:uiPriority w:val="99"/>
    <w:pPr>
      <w:tabs>
        <w:tab w:val="center" w:pos="4513"/>
        <w:tab w:val="right" w:pos="9026"/>
      </w:tabs>
      <w:spacing w:after="0" w:line="240" w:lineRule="auto"/>
    </w:pPr>
  </w:style>
  <w:style w:type="table" w:styleId="7">
    <w:name w:val="Table Grid"/>
    <w:basedOn w:val="6"/>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spacing w:after="0" w:line="240" w:lineRule="auto"/>
    </w:pPr>
    <w:rPr>
      <w:rFonts w:asciiTheme="minorHAnsi" w:hAnsiTheme="minorHAnsi" w:eastAsiaTheme="minorHAnsi" w:cstheme="minorBidi"/>
      <w:sz w:val="22"/>
      <w:szCs w:val="22"/>
      <w:lang w:val="en-IN" w:eastAsia="en-US" w:bidi="ar-SA"/>
    </w:rPr>
  </w:style>
  <w:style w:type="paragraph" w:styleId="9">
    <w:name w:val="List Paragraph"/>
    <w:basedOn w:val="1"/>
    <w:qFormat/>
    <w:uiPriority w:val="1"/>
    <w:pPr>
      <w:ind w:left="720"/>
      <w:contextualSpacing/>
    </w:pPr>
    <w:rPr>
      <w:rFonts w:eastAsiaTheme="minorHAnsi"/>
      <w:lang w:val="en-GB"/>
    </w:rPr>
  </w:style>
  <w:style w:type="character" w:customStyle="1" w:styleId="10">
    <w:name w:val="Body Text Char"/>
    <w:basedOn w:val="5"/>
    <w:link w:val="2"/>
    <w:uiPriority w:val="1"/>
    <w:rPr>
      <w:rFonts w:ascii="Times New Roman" w:hAnsi="Times New Roman" w:eastAsia="Times New Roman" w:cs="Times New Roman"/>
      <w:sz w:val="23"/>
      <w:szCs w:val="23"/>
    </w:rPr>
  </w:style>
  <w:style w:type="paragraph" w:customStyle="1" w:styleId="11">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 w:type="character" w:customStyle="1" w:styleId="12">
    <w:name w:val="Header Char"/>
    <w:basedOn w:val="5"/>
    <w:link w:val="4"/>
    <w:semiHidden/>
    <w:uiPriority w:val="99"/>
    <w:rPr>
      <w:rFonts w:eastAsiaTheme="minorEastAsia"/>
    </w:rPr>
  </w:style>
  <w:style w:type="character" w:customStyle="1" w:styleId="13">
    <w:name w:val="Footer Char"/>
    <w:basedOn w:val="5"/>
    <w:link w:val="3"/>
    <w:semiHidden/>
    <w:uiPriority w:val="99"/>
    <w:rPr>
      <w:rFonts w:eastAsiaTheme="minorEastAsi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363</Words>
  <Characters>2071</Characters>
  <Lines>17</Lines>
  <Paragraphs>4</Paragraphs>
  <TotalTime>86</TotalTime>
  <ScaleCrop>false</ScaleCrop>
  <LinksUpToDate>false</LinksUpToDate>
  <CharactersWithSpaces>2430</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2020-01-17T05:58:00Z</dcterms:created>
  <dc:creator>Windows User</dc:creator>
  <cp:lastModifiedBy>B Lalcrossengmawia</cp:lastModifiedBy>
  <cp:lastPrinted>2020-11-26T09:19:40Z</cp:lastPrinted>
  <dcterms:modified xsi:type="dcterms:W3CDTF">2020-11-26T09:20:50Z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